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Layout w:type="fixed"/>
        <w:tblLook w:val="0000"/>
      </w:tblPr>
      <w:tblGrid>
        <w:gridCol w:w="9498"/>
      </w:tblGrid>
      <w:tr w:rsidR="00C40944">
        <w:trPr>
          <w:trHeight w:hRule="exact" w:val="1055"/>
        </w:trPr>
        <w:tc>
          <w:tcPr>
            <w:tcW w:w="9498" w:type="dxa"/>
          </w:tcPr>
          <w:p w:rsidR="00C40944" w:rsidRDefault="00C40944" w:rsidP="004D7468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366.25pt;height:24pt;z-index:251658240" filled="f" stroked="f">
                  <v:textbox style="mso-next-textbox:#_x0000_s1026">
                    <w:txbxContent>
                      <w:p w:rsidR="00C40944" w:rsidRDefault="00C40944" w:rsidP="00F2213E">
                        <w:pPr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9968C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36.75pt">
                  <v:imagedata r:id="rId5" o:title=""/>
                </v:shape>
              </w:pict>
            </w:r>
          </w:p>
        </w:tc>
      </w:tr>
      <w:tr w:rsidR="00C40944">
        <w:trPr>
          <w:trHeight w:hRule="exact" w:val="2211"/>
        </w:trPr>
        <w:tc>
          <w:tcPr>
            <w:tcW w:w="9498" w:type="dxa"/>
          </w:tcPr>
          <w:p w:rsidR="00C40944" w:rsidRDefault="00C40944">
            <w:pPr>
              <w:pStyle w:val="Heading2"/>
            </w:pPr>
            <w:r>
              <w:t>Pagėgių savivaldybės taryba</w:t>
            </w:r>
          </w:p>
          <w:p w:rsidR="00C40944" w:rsidRDefault="00C4094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C40944" w:rsidRDefault="00C4094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C40944" w:rsidRDefault="00C4094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</w:t>
            </w:r>
            <w:r w:rsidRPr="0038432D">
              <w:rPr>
                <w:b/>
                <w:bCs/>
                <w:caps/>
              </w:rPr>
              <w:t xml:space="preserve">Pagėgių savivaldybės </w:t>
            </w:r>
            <w:r>
              <w:rPr>
                <w:b/>
                <w:bCs/>
                <w:caps/>
              </w:rPr>
              <w:t xml:space="preserve">šaligatvių, PĖSČIŲJŲ ir dviračių takų, esančių ne prie </w:t>
            </w:r>
            <w:r w:rsidRPr="0038432D">
              <w:rPr>
                <w:b/>
                <w:bCs/>
                <w:caps/>
              </w:rPr>
              <w:t>vietinės reikšmės kelių ir gatvių</w:t>
            </w:r>
            <w:r>
              <w:rPr>
                <w:b/>
                <w:bCs/>
                <w:caps/>
              </w:rPr>
              <w:t>,</w:t>
            </w:r>
            <w:r w:rsidRPr="0038432D">
              <w:rPr>
                <w:b/>
                <w:bCs/>
                <w:caps/>
              </w:rPr>
              <w:t xml:space="preserve"> sąrašo patvirt</w:t>
            </w:r>
            <w:r>
              <w:rPr>
                <w:b/>
                <w:bCs/>
                <w:caps/>
              </w:rPr>
              <w:t>inimo</w:t>
            </w:r>
            <w:r w:rsidRPr="0038432D">
              <w:rPr>
                <w:caps/>
              </w:rPr>
              <w:t xml:space="preserve"> </w:t>
            </w:r>
          </w:p>
        </w:tc>
      </w:tr>
      <w:tr w:rsidR="00C40944">
        <w:trPr>
          <w:trHeight w:hRule="exact" w:val="703"/>
        </w:trPr>
        <w:tc>
          <w:tcPr>
            <w:tcW w:w="9498" w:type="dxa"/>
          </w:tcPr>
          <w:p w:rsidR="00C40944" w:rsidRDefault="00C40944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rugpjūčio 28 d. Nr. T-108</w:t>
            </w:r>
          </w:p>
          <w:p w:rsidR="00C40944" w:rsidRDefault="00C40944">
            <w:pPr>
              <w:jc w:val="center"/>
            </w:pPr>
            <w:r>
              <w:t>Pagėgiai</w:t>
            </w:r>
          </w:p>
        </w:tc>
      </w:tr>
    </w:tbl>
    <w:p w:rsidR="00C40944" w:rsidRDefault="00C40944"/>
    <w:p w:rsidR="00C40944" w:rsidRDefault="00C40944">
      <w:pPr>
        <w:jc w:val="both"/>
      </w:pPr>
    </w:p>
    <w:p w:rsidR="00C40944" w:rsidRDefault="00C40944" w:rsidP="00D569DB">
      <w:pPr>
        <w:spacing w:line="360" w:lineRule="auto"/>
        <w:jc w:val="both"/>
      </w:pPr>
      <w:r>
        <w:t xml:space="preserve">                   Vadovaudamasi Lietuvos Respublikos vietos savivaldos įstatymo 16 straipsnio 2 dalies 26 punktu ir </w:t>
      </w:r>
      <w:r w:rsidRPr="004A2A0C">
        <w:t>Kelių priežiūros tvarkos aprašo, patvirtinto</w:t>
      </w:r>
      <w:r>
        <w:t xml:space="preserve"> Lietuvos Respublikos Vyriausybės 2004 m. vasario 11 d. nutarim</w:t>
      </w:r>
      <w:r w:rsidRPr="004A2A0C">
        <w:t>u</w:t>
      </w:r>
      <w:r>
        <w:t xml:space="preserve"> Nr. 155 ,,Dėl kelių priežiūros tvarkos aprašo patvirtinimo“, 3.2.2. punktu, Pagėgių savivaldybės taryba n u s p r e n d ž i a:</w:t>
      </w:r>
    </w:p>
    <w:p w:rsidR="00C40944" w:rsidRDefault="00C40944" w:rsidP="00D569DB">
      <w:pPr>
        <w:spacing w:line="360" w:lineRule="auto"/>
        <w:ind w:firstLine="1134"/>
        <w:jc w:val="both"/>
      </w:pPr>
      <w:r>
        <w:t xml:space="preserve">1. Patvirtinti Pagėgių savivaldybės šaligatvių, pėsčiųjų ir dviračių takų, esančių ne prie vietinės reikšmės kelių ir gatvių, sąrašą (priedas pridedamas). </w:t>
      </w:r>
    </w:p>
    <w:p w:rsidR="00C40944" w:rsidRDefault="00C40944" w:rsidP="00D569DB">
      <w:pPr>
        <w:spacing w:line="360" w:lineRule="auto"/>
        <w:ind w:firstLine="1134"/>
        <w:jc w:val="both"/>
      </w:pPr>
      <w:r>
        <w:t xml:space="preserve">2.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C40944" w:rsidRPr="00D909CA" w:rsidRDefault="00C40944" w:rsidP="00D569DB">
      <w:pPr>
        <w:tabs>
          <w:tab w:val="left" w:pos="0"/>
          <w:tab w:val="left" w:pos="851"/>
          <w:tab w:val="left" w:pos="1560"/>
        </w:tabs>
        <w:spacing w:line="360" w:lineRule="auto"/>
        <w:ind w:right="-144"/>
        <w:jc w:val="both"/>
      </w:pPr>
      <w:r>
        <w:t xml:space="preserve">         </w:t>
      </w:r>
      <w:r>
        <w:tab/>
        <w:t xml:space="preserve">     </w:t>
      </w:r>
      <w:r w:rsidRPr="00D909CA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C40944" w:rsidRDefault="00C40944"/>
    <w:p w:rsidR="00C40944" w:rsidRDefault="00C40944" w:rsidP="00414B12">
      <w:pPr>
        <w:jc w:val="both"/>
      </w:pPr>
    </w:p>
    <w:p w:rsidR="00C40944" w:rsidRDefault="00C40944" w:rsidP="00414B12">
      <w:pPr>
        <w:jc w:val="both"/>
      </w:pPr>
    </w:p>
    <w:p w:rsidR="00C40944" w:rsidRDefault="00C40944" w:rsidP="00414B12">
      <w:pPr>
        <w:jc w:val="both"/>
      </w:pPr>
    </w:p>
    <w:p w:rsidR="00C40944" w:rsidRDefault="00C40944" w:rsidP="00162A4A">
      <w:pPr>
        <w:spacing w:line="360" w:lineRule="auto"/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C40944" w:rsidRDefault="00C40944" w:rsidP="00162A4A">
      <w:pPr>
        <w:spacing w:line="360" w:lineRule="auto"/>
        <w:jc w:val="both"/>
        <w:sectPr w:rsidR="00C40944" w:rsidSect="0038432D">
          <w:pgSz w:w="11907" w:h="16840"/>
          <w:pgMar w:top="1134" w:right="992" w:bottom="851" w:left="1701" w:header="567" w:footer="567" w:gutter="0"/>
          <w:cols w:space="1296"/>
        </w:sectPr>
      </w:pPr>
    </w:p>
    <w:tbl>
      <w:tblPr>
        <w:tblW w:w="14180" w:type="dxa"/>
        <w:tblInd w:w="-106" w:type="dxa"/>
        <w:tblLook w:val="0000"/>
      </w:tblPr>
      <w:tblGrid>
        <w:gridCol w:w="950"/>
        <w:gridCol w:w="2670"/>
        <w:gridCol w:w="740"/>
        <w:gridCol w:w="1240"/>
        <w:gridCol w:w="2980"/>
        <w:gridCol w:w="895"/>
        <w:gridCol w:w="2440"/>
        <w:gridCol w:w="666"/>
        <w:gridCol w:w="661"/>
        <w:gridCol w:w="1280"/>
      </w:tblGrid>
      <w:tr w:rsidR="00C40944" w:rsidRPr="00926AB5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  <w:r w:rsidRPr="00926AB5">
              <w:rPr>
                <w:sz w:val="22"/>
                <w:szCs w:val="22"/>
                <w:lang w:eastAsia="lt-LT"/>
              </w:rPr>
              <w:t>PATVIRTINTA</w:t>
            </w:r>
          </w:p>
        </w:tc>
      </w:tr>
      <w:tr w:rsidR="00C40944" w:rsidRPr="00926AB5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  <w:r w:rsidRPr="00926AB5">
              <w:rPr>
                <w:sz w:val="22"/>
                <w:szCs w:val="22"/>
                <w:lang w:eastAsia="lt-LT"/>
              </w:rPr>
              <w:t>Pagėgių savivaldybės tarybos</w:t>
            </w:r>
          </w:p>
        </w:tc>
      </w:tr>
      <w:tr w:rsidR="00C40944" w:rsidRPr="00926AB5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2018 m. rugpjūčio 28 </w:t>
            </w:r>
            <w:r w:rsidRPr="00926AB5">
              <w:rPr>
                <w:sz w:val="22"/>
                <w:szCs w:val="22"/>
                <w:lang w:eastAsia="lt-LT"/>
              </w:rPr>
              <w:t>d.</w:t>
            </w:r>
          </w:p>
        </w:tc>
      </w:tr>
      <w:tr w:rsidR="00C40944" w:rsidRPr="00926AB5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  <w:r w:rsidRPr="00926AB5">
              <w:rPr>
                <w:sz w:val="22"/>
                <w:szCs w:val="22"/>
                <w:lang w:eastAsia="lt-LT"/>
              </w:rPr>
              <w:t>sprendimu Nr. T-</w:t>
            </w:r>
            <w:r>
              <w:rPr>
                <w:sz w:val="22"/>
                <w:szCs w:val="22"/>
                <w:lang w:eastAsia="lt-LT"/>
              </w:rPr>
              <w:t>108</w:t>
            </w:r>
          </w:p>
        </w:tc>
      </w:tr>
      <w:tr w:rsidR="00C40944" w:rsidRPr="00926AB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926AB5">
              <w:rPr>
                <w:rFonts w:ascii="Arial" w:hAnsi="Arial" w:cs="Arial"/>
                <w:sz w:val="20"/>
                <w:szCs w:val="20"/>
                <w:lang w:eastAsia="lt-LT"/>
              </w:rPr>
              <w:t>priedas</w:t>
            </w:r>
          </w:p>
        </w:tc>
      </w:tr>
      <w:tr w:rsidR="00C40944" w:rsidRPr="00926AB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</w:tr>
      <w:tr w:rsidR="00C40944" w:rsidRPr="00926AB5">
        <w:trPr>
          <w:trHeight w:val="315"/>
        </w:trPr>
        <w:tc>
          <w:tcPr>
            <w:tcW w:w="14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eastAsia="lt-LT"/>
              </w:rPr>
            </w:pPr>
            <w:r w:rsidRPr="00926AB5">
              <w:rPr>
                <w:b/>
                <w:bCs/>
                <w:lang w:eastAsia="lt-LT"/>
              </w:rPr>
              <w:t>Pagėgių savivaldybės šaligatvių, pėsčiųjų ir dviračių takų, esančių ne prie vietinės reikšmės kelių ir gatvių, sąrašas</w:t>
            </w:r>
          </w:p>
        </w:tc>
      </w:tr>
      <w:tr w:rsidR="00C40944" w:rsidRPr="00926AB5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</w:tr>
      <w:tr w:rsidR="00C40944" w:rsidRPr="00926AB5">
        <w:trPr>
          <w:trHeight w:val="76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  <w:lang w:eastAsia="lt-LT"/>
              </w:rPr>
            </w:pPr>
            <w:r w:rsidRPr="00926AB5">
              <w:rPr>
                <w:b/>
                <w:bCs/>
                <w:sz w:val="20"/>
                <w:szCs w:val="20"/>
                <w:lang w:eastAsia="lt-LT"/>
              </w:rPr>
              <w:t>Numeris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  <w:lang w:eastAsia="lt-LT"/>
              </w:rPr>
            </w:pPr>
            <w:r w:rsidRPr="00926AB5">
              <w:rPr>
                <w:b/>
                <w:bCs/>
                <w:sz w:val="20"/>
                <w:szCs w:val="20"/>
                <w:lang w:eastAsia="lt-LT"/>
              </w:rPr>
              <w:t>Tako Pavadinimas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  <w:lang w:eastAsia="lt-LT"/>
              </w:rPr>
            </w:pPr>
            <w:r w:rsidRPr="00926AB5">
              <w:rPr>
                <w:b/>
                <w:bCs/>
                <w:sz w:val="20"/>
                <w:szCs w:val="20"/>
                <w:lang w:eastAsia="lt-LT"/>
              </w:rPr>
              <w:t>Pusė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  <w:lang w:eastAsia="lt-LT"/>
              </w:rPr>
            </w:pPr>
            <w:r w:rsidRPr="00926AB5">
              <w:rPr>
                <w:b/>
                <w:bCs/>
                <w:sz w:val="20"/>
                <w:szCs w:val="20"/>
                <w:lang w:eastAsia="lt-LT"/>
              </w:rPr>
              <w:t>Tako pradžia (km)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  <w:lang w:eastAsia="lt-LT"/>
              </w:rPr>
            </w:pPr>
            <w:r w:rsidRPr="00926AB5">
              <w:rPr>
                <w:b/>
                <w:bCs/>
                <w:sz w:val="20"/>
                <w:szCs w:val="20"/>
                <w:lang w:eastAsia="lt-LT"/>
              </w:rPr>
              <w:t>Pradžios aprašymas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  <w:lang w:eastAsia="lt-LT"/>
              </w:rPr>
            </w:pPr>
            <w:r w:rsidRPr="00926AB5">
              <w:rPr>
                <w:b/>
                <w:bCs/>
                <w:sz w:val="20"/>
                <w:szCs w:val="20"/>
                <w:lang w:eastAsia="lt-LT"/>
              </w:rPr>
              <w:t>Tako pabaiga (km)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  <w:lang w:eastAsia="lt-LT"/>
              </w:rPr>
            </w:pPr>
            <w:r w:rsidRPr="00926AB5">
              <w:rPr>
                <w:b/>
                <w:bCs/>
                <w:sz w:val="20"/>
                <w:szCs w:val="20"/>
                <w:lang w:eastAsia="lt-LT"/>
              </w:rPr>
              <w:t>Pabaigos aprašymas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  <w:lang w:eastAsia="lt-LT"/>
              </w:rPr>
            </w:pPr>
            <w:r w:rsidRPr="00926AB5">
              <w:rPr>
                <w:b/>
                <w:bCs/>
                <w:sz w:val="20"/>
                <w:szCs w:val="20"/>
                <w:lang w:eastAsia="lt-LT"/>
              </w:rPr>
              <w:t>Tako ilgis (m)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  <w:lang w:eastAsia="lt-LT"/>
              </w:rPr>
            </w:pPr>
            <w:r w:rsidRPr="00926AB5">
              <w:rPr>
                <w:b/>
                <w:bCs/>
                <w:sz w:val="20"/>
                <w:szCs w:val="20"/>
                <w:lang w:eastAsia="lt-LT"/>
              </w:rPr>
              <w:t>Tako tipas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szCs w:val="20"/>
                <w:lang w:eastAsia="lt-LT"/>
              </w:rPr>
            </w:pPr>
            <w:r w:rsidRPr="00926AB5">
              <w:rPr>
                <w:b/>
                <w:bCs/>
                <w:sz w:val="20"/>
                <w:szCs w:val="20"/>
                <w:lang w:eastAsia="lt-LT"/>
              </w:rPr>
              <w:t>Gyvenvietė</w:t>
            </w:r>
          </w:p>
        </w:tc>
      </w:tr>
      <w:tr w:rsidR="00C40944" w:rsidRPr="00926AB5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PG7295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Pėsčiųjų takas prie Liepų g. Piktupėnuose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Liepų g. ir Senojo plento g. sankryža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0,305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Liepų g. ir Mokyklos g. sankryža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0,305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Piktupėnai</w:t>
            </w:r>
          </w:p>
        </w:tc>
      </w:tr>
      <w:tr w:rsidR="00C40944" w:rsidRPr="00926AB5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PG7296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Pėsčiųjų takas prie Jankaus g. Pagėgiuose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Klaipėdos g.  ir Jankaus g. sankryža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0,244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Jankaus g. 22 įvažiavimas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0,244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5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PG7296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Pėsčiųjų takas prie Jankaus g. Pagėgiuose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Klaipėdos g.  ir Jankaus g. sankryža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0,665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Įvaža į Pagėgių kapinių aikštelę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0,665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PG7297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Šaligatvis prie Žemaičių g. Pagėgiuose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 xml:space="preserve">Klaipėdos g.  ir Žemaičių g. sankryža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0,219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Žemaičių g. ir Vytauto g. sankryža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0,219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5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PG7297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Pėsčiųjų takas prie Žemaičių g. Pagėgiuose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 xml:space="preserve">Klaipėdos g.  ir Žemaičių g. sankryža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0,685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Žemaičių g. 31 įvažiavimas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0,685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PG7298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Pėsčiųjų takas prie Vytauto g. Pagėgiuose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Vytauto g., Žemaičių g.  ir Aukštaičių g. sankryža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0,492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Vytauto g. ir Pušyno g. sankryža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0,492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5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PG7298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Pėsčiųjų takas prie Vytauto g. Pagėgiuose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0,490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Vytauto g. ir Pušyno g. sankryža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Nuovaža į Senelių namų teritoriją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PG7299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Vilniaus g., Klaipėdos g. (kelias 141)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Nuovaža į Vilniaus 39 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1,470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 xml:space="preserve">Klaipėdos gatvės atšaka PG7223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1,470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5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PG7299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Vilniaus g., Klaipėdos g. (kelias 141)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0,135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Šaligatvio pradžia ties Vilniaus g. 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1,640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Naujoji g. PG7202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1,505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PG7609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 xml:space="preserve">Pėsčiųjų takas prie Darželių g. Benininkų k.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Rambyno g. ir Darželių g. sankryža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0,610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Įvažiavimas į Darželių g. 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Benininkai</w:t>
            </w:r>
          </w:p>
        </w:tc>
      </w:tr>
      <w:tr w:rsidR="00C40944" w:rsidRPr="00926AB5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PG7611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Šaligatvis prie K. Donelaičio g. Panemunės mieste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Įvažiavimas į K. Donelaičio g. 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0,345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Nemuno g. ir K. Donelaičio g. sankryža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0,345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Panemunė</w:t>
            </w:r>
          </w:p>
        </w:tc>
      </w:tr>
      <w:tr w:rsidR="00C40944" w:rsidRPr="00926AB5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PG7611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Šaligatvis prie K. Donelaičio g. Panemunės mieste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D. Donelaičio g. ir Aušros g. sankryža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0,188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Įvažiavimas į K. Donelaičio g. 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0,188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Panemunė</w:t>
            </w:r>
          </w:p>
        </w:tc>
      </w:tr>
      <w:tr w:rsidR="00C40944" w:rsidRPr="00926AB5">
        <w:trPr>
          <w:trHeight w:val="52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PG8010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Šaligatvis prie Zosės Petraitienės g. Natkiškių 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Įvažiavimas į bendruomenės namų aikštelę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0,543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Zosės Petraitienės g. ir Saulėtekio g. sankryža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0,543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Natkiškiai</w:t>
            </w:r>
          </w:p>
        </w:tc>
      </w:tr>
      <w:tr w:rsidR="00C40944" w:rsidRPr="00926AB5">
        <w:trPr>
          <w:trHeight w:val="51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PG8011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Šaligatvis prie Sodo g. Natkiškių k.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Įvažiavimas į seniūnijos kiemą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0,325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Sodo g. ir Alyvų g. sankryža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0,325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Natkiškiai</w:t>
            </w:r>
          </w:p>
        </w:tc>
      </w:tr>
      <w:tr w:rsidR="00C40944" w:rsidRPr="00926AB5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PG9901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Takas Pagėgių parke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pradžia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pabaiga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0,152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3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PG9902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Takas Pagėgių parke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pradžia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0,275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pabaiga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0,275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PG9903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Takas Pagėgių parke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pradžia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0,162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pabaiga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3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PG9904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Takas Pagėgių parke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pradžia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pabaiga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PG9905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Takas Pagėgių parke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pradžia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pabaiga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36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PG9906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Takas Pagėgių parke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pradžia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pabaiga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0,015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Pagėgiai</w:t>
            </w:r>
          </w:p>
        </w:tc>
      </w:tr>
      <w:tr w:rsidR="00C40944" w:rsidRPr="00926AB5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szCs w:val="20"/>
                <w:lang w:eastAsia="lt-LT"/>
              </w:rPr>
            </w:pPr>
            <w:r w:rsidRPr="00926AB5">
              <w:rPr>
                <w:b/>
                <w:bCs/>
                <w:sz w:val="20"/>
                <w:szCs w:val="20"/>
                <w:lang w:eastAsia="lt-LT"/>
              </w:rPr>
              <w:t>Pastabos: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</w:tr>
      <w:tr w:rsidR="00C40944" w:rsidRPr="00926AB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Pusė: k – kairė, d – dešinė.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</w:tr>
      <w:tr w:rsidR="00C40944" w:rsidRPr="00926AB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Tako tipas: s - šaligatvis, p - pėsčiųjų, d - dviračių, b - pėsčiųjų ir dviračių.</w:t>
            </w:r>
          </w:p>
        </w:tc>
      </w:tr>
      <w:tr w:rsidR="00C40944" w:rsidRPr="00926AB5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0"/>
                <w:lang w:eastAsia="lt-LT"/>
              </w:rPr>
            </w:pPr>
          </w:p>
        </w:tc>
        <w:tc>
          <w:tcPr>
            <w:tcW w:w="13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944" w:rsidRPr="00926AB5" w:rsidRDefault="00C40944" w:rsidP="00926AB5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eastAsia="lt-LT"/>
              </w:rPr>
            </w:pPr>
            <w:r w:rsidRPr="00926AB5">
              <w:rPr>
                <w:sz w:val="20"/>
                <w:szCs w:val="20"/>
                <w:lang w:eastAsia="lt-LT"/>
              </w:rPr>
              <w:t>Dangos tipas: a/b – asfaltbetonis, z – žvyras, c – cementbetonis, p – plytelės, t – trinkelės.</w:t>
            </w:r>
          </w:p>
        </w:tc>
      </w:tr>
    </w:tbl>
    <w:p w:rsidR="00C40944" w:rsidRDefault="00C40944" w:rsidP="00162A4A">
      <w:pPr>
        <w:spacing w:line="360" w:lineRule="auto"/>
        <w:jc w:val="both"/>
        <w:sectPr w:rsidR="00C40944" w:rsidSect="00926AB5">
          <w:pgSz w:w="16840" w:h="11907" w:orient="landscape"/>
          <w:pgMar w:top="992" w:right="851" w:bottom="1701" w:left="1134" w:header="567" w:footer="567" w:gutter="0"/>
          <w:cols w:space="1296"/>
        </w:sectPr>
      </w:pPr>
    </w:p>
    <w:p w:rsidR="00C40944" w:rsidRPr="00DE3BB1" w:rsidRDefault="00C40944" w:rsidP="00162A4A">
      <w:pPr>
        <w:spacing w:line="360" w:lineRule="auto"/>
        <w:jc w:val="both"/>
        <w:rPr>
          <w:lang w:val="es-MX"/>
        </w:rPr>
      </w:pPr>
    </w:p>
    <w:sectPr w:rsidR="00C40944" w:rsidRPr="00DE3BB1" w:rsidSect="00DE3BB1">
      <w:pgSz w:w="11906" w:h="16838"/>
      <w:pgMar w:top="1258" w:right="567" w:bottom="18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E86"/>
    <w:multiLevelType w:val="hybridMultilevel"/>
    <w:tmpl w:val="F8EAB93C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E72D4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F463BD"/>
    <w:multiLevelType w:val="hybridMultilevel"/>
    <w:tmpl w:val="90B4DD48"/>
    <w:lvl w:ilvl="0" w:tplc="0427000F">
      <w:start w:val="1"/>
      <w:numFmt w:val="decimal"/>
      <w:lvlText w:val="%1."/>
      <w:lvlJc w:val="left"/>
      <w:pPr>
        <w:ind w:left="2085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3">
    <w:nsid w:val="1C21673A"/>
    <w:multiLevelType w:val="hybridMultilevel"/>
    <w:tmpl w:val="DB0AAD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830BD"/>
    <w:multiLevelType w:val="multilevel"/>
    <w:tmpl w:val="0472C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6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26460B"/>
    <w:multiLevelType w:val="hybridMultilevel"/>
    <w:tmpl w:val="806C1A62"/>
    <w:lvl w:ilvl="0" w:tplc="252A2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93F91"/>
    <w:multiLevelType w:val="hybridMultilevel"/>
    <w:tmpl w:val="42CE3076"/>
    <w:lvl w:ilvl="0" w:tplc="0427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B38CA"/>
    <w:multiLevelType w:val="hybridMultilevel"/>
    <w:tmpl w:val="6BE0D7DC"/>
    <w:lvl w:ilvl="0" w:tplc="AB2663A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653312"/>
    <w:multiLevelType w:val="hybridMultilevel"/>
    <w:tmpl w:val="80F85052"/>
    <w:lvl w:ilvl="0" w:tplc="6BECDD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B34148"/>
    <w:multiLevelType w:val="hybridMultilevel"/>
    <w:tmpl w:val="3EA24890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D242B"/>
    <w:multiLevelType w:val="hybridMultilevel"/>
    <w:tmpl w:val="7E2826A2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63D04"/>
    <w:multiLevelType w:val="multilevel"/>
    <w:tmpl w:val="1804B6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6876742"/>
    <w:multiLevelType w:val="multilevel"/>
    <w:tmpl w:val="A5680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bCs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bCs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bCs w:val="0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bCs w:val="0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15">
    <w:nsid w:val="524029EE"/>
    <w:multiLevelType w:val="hybridMultilevel"/>
    <w:tmpl w:val="8FD4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40651"/>
    <w:multiLevelType w:val="multilevel"/>
    <w:tmpl w:val="42CE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403D7"/>
    <w:multiLevelType w:val="hybridMultilevel"/>
    <w:tmpl w:val="5F442E30"/>
    <w:lvl w:ilvl="0" w:tplc="3D6246E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43252C"/>
    <w:multiLevelType w:val="multilevel"/>
    <w:tmpl w:val="42CE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24100"/>
    <w:multiLevelType w:val="hybridMultilevel"/>
    <w:tmpl w:val="DE748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4A2E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A47597"/>
    <w:multiLevelType w:val="hybridMultilevel"/>
    <w:tmpl w:val="D6866BBA"/>
    <w:lvl w:ilvl="0" w:tplc="1F64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9A7FCC"/>
    <w:multiLevelType w:val="hybridMultilevel"/>
    <w:tmpl w:val="EF508E06"/>
    <w:lvl w:ilvl="0" w:tplc="E3C213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9C3380"/>
    <w:multiLevelType w:val="hybridMultilevel"/>
    <w:tmpl w:val="3184DCEE"/>
    <w:lvl w:ilvl="0" w:tplc="A1827F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8D46ED"/>
    <w:multiLevelType w:val="multilevel"/>
    <w:tmpl w:val="42CE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964F1"/>
    <w:multiLevelType w:val="hybridMultilevel"/>
    <w:tmpl w:val="93F48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E7827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24"/>
  </w:num>
  <w:num w:numId="5">
    <w:abstractNumId w:val="15"/>
  </w:num>
  <w:num w:numId="6">
    <w:abstractNumId w:val="14"/>
  </w:num>
  <w:num w:numId="7">
    <w:abstractNumId w:val="23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0"/>
  </w:num>
  <w:num w:numId="13">
    <w:abstractNumId w:val="20"/>
  </w:num>
  <w:num w:numId="14">
    <w:abstractNumId w:val="3"/>
  </w:num>
  <w:num w:numId="15">
    <w:abstractNumId w:val="13"/>
  </w:num>
  <w:num w:numId="16">
    <w:abstractNumId w:val="22"/>
  </w:num>
  <w:num w:numId="17">
    <w:abstractNumId w:val="10"/>
  </w:num>
  <w:num w:numId="18">
    <w:abstractNumId w:val="21"/>
  </w:num>
  <w:num w:numId="19">
    <w:abstractNumId w:val="5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81"/>
    <w:rsid w:val="00004777"/>
    <w:rsid w:val="00012685"/>
    <w:rsid w:val="00016D27"/>
    <w:rsid w:val="00026618"/>
    <w:rsid w:val="00030532"/>
    <w:rsid w:val="00042822"/>
    <w:rsid w:val="000531DD"/>
    <w:rsid w:val="000743E7"/>
    <w:rsid w:val="0007745C"/>
    <w:rsid w:val="0008051A"/>
    <w:rsid w:val="0008066D"/>
    <w:rsid w:val="00082C63"/>
    <w:rsid w:val="00093967"/>
    <w:rsid w:val="000A0873"/>
    <w:rsid w:val="000A2886"/>
    <w:rsid w:val="000A2B3A"/>
    <w:rsid w:val="000B10FD"/>
    <w:rsid w:val="000C7344"/>
    <w:rsid w:val="000D1768"/>
    <w:rsid w:val="000D72B0"/>
    <w:rsid w:val="000E0206"/>
    <w:rsid w:val="000F067A"/>
    <w:rsid w:val="000F1AA1"/>
    <w:rsid w:val="000F30D9"/>
    <w:rsid w:val="000F4A0B"/>
    <w:rsid w:val="000F7DC1"/>
    <w:rsid w:val="00101C59"/>
    <w:rsid w:val="00103275"/>
    <w:rsid w:val="0010607B"/>
    <w:rsid w:val="00106750"/>
    <w:rsid w:val="0011504F"/>
    <w:rsid w:val="00142A11"/>
    <w:rsid w:val="00146F6B"/>
    <w:rsid w:val="00155941"/>
    <w:rsid w:val="00162A4A"/>
    <w:rsid w:val="0016399A"/>
    <w:rsid w:val="001649FE"/>
    <w:rsid w:val="001657D6"/>
    <w:rsid w:val="00167848"/>
    <w:rsid w:val="0017191B"/>
    <w:rsid w:val="00172C8A"/>
    <w:rsid w:val="0017575B"/>
    <w:rsid w:val="001760E8"/>
    <w:rsid w:val="00180493"/>
    <w:rsid w:val="00181924"/>
    <w:rsid w:val="0019348F"/>
    <w:rsid w:val="0019463D"/>
    <w:rsid w:val="0019627E"/>
    <w:rsid w:val="001A3B68"/>
    <w:rsid w:val="001A52AD"/>
    <w:rsid w:val="001B0C9B"/>
    <w:rsid w:val="001B106F"/>
    <w:rsid w:val="001B2D44"/>
    <w:rsid w:val="001B3CF3"/>
    <w:rsid w:val="001B41E2"/>
    <w:rsid w:val="001C5162"/>
    <w:rsid w:val="001C6946"/>
    <w:rsid w:val="001C7547"/>
    <w:rsid w:val="001D0400"/>
    <w:rsid w:val="001D63EF"/>
    <w:rsid w:val="001E01DE"/>
    <w:rsid w:val="001E0841"/>
    <w:rsid w:val="001E6AB4"/>
    <w:rsid w:val="001F4EE5"/>
    <w:rsid w:val="001F4EF0"/>
    <w:rsid w:val="00204E71"/>
    <w:rsid w:val="0020539C"/>
    <w:rsid w:val="00205C83"/>
    <w:rsid w:val="00224E6D"/>
    <w:rsid w:val="00231BAC"/>
    <w:rsid w:val="00243DE8"/>
    <w:rsid w:val="002443B4"/>
    <w:rsid w:val="002458B7"/>
    <w:rsid w:val="002623DE"/>
    <w:rsid w:val="00263D7C"/>
    <w:rsid w:val="0026463C"/>
    <w:rsid w:val="00276A8D"/>
    <w:rsid w:val="00277585"/>
    <w:rsid w:val="0028210A"/>
    <w:rsid w:val="00285023"/>
    <w:rsid w:val="002917E7"/>
    <w:rsid w:val="00292CF2"/>
    <w:rsid w:val="00294DAC"/>
    <w:rsid w:val="00296109"/>
    <w:rsid w:val="002A1426"/>
    <w:rsid w:val="002B275B"/>
    <w:rsid w:val="002B4D23"/>
    <w:rsid w:val="002B71C4"/>
    <w:rsid w:val="002C2AD4"/>
    <w:rsid w:val="002C5D99"/>
    <w:rsid w:val="002C79D8"/>
    <w:rsid w:val="002D0DC1"/>
    <w:rsid w:val="002E26D1"/>
    <w:rsid w:val="002E31BE"/>
    <w:rsid w:val="002F0F92"/>
    <w:rsid w:val="003016E9"/>
    <w:rsid w:val="00303FC9"/>
    <w:rsid w:val="003135BA"/>
    <w:rsid w:val="003154E6"/>
    <w:rsid w:val="00317CBC"/>
    <w:rsid w:val="0032207F"/>
    <w:rsid w:val="00325738"/>
    <w:rsid w:val="003266A5"/>
    <w:rsid w:val="00327736"/>
    <w:rsid w:val="00327A0C"/>
    <w:rsid w:val="00337171"/>
    <w:rsid w:val="00342067"/>
    <w:rsid w:val="00350EEF"/>
    <w:rsid w:val="003573F5"/>
    <w:rsid w:val="0036096B"/>
    <w:rsid w:val="0037753F"/>
    <w:rsid w:val="0038432D"/>
    <w:rsid w:val="00390A1B"/>
    <w:rsid w:val="003931D0"/>
    <w:rsid w:val="00393F3C"/>
    <w:rsid w:val="00394619"/>
    <w:rsid w:val="003B11B9"/>
    <w:rsid w:val="003B6CC1"/>
    <w:rsid w:val="003C195D"/>
    <w:rsid w:val="003C2E0C"/>
    <w:rsid w:val="003D3777"/>
    <w:rsid w:val="003F53B4"/>
    <w:rsid w:val="003F5785"/>
    <w:rsid w:val="003F67F0"/>
    <w:rsid w:val="00405143"/>
    <w:rsid w:val="0040735E"/>
    <w:rsid w:val="00414B12"/>
    <w:rsid w:val="004150AA"/>
    <w:rsid w:val="00416847"/>
    <w:rsid w:val="00426030"/>
    <w:rsid w:val="0042709B"/>
    <w:rsid w:val="00435FB8"/>
    <w:rsid w:val="00441399"/>
    <w:rsid w:val="00445C4B"/>
    <w:rsid w:val="00474995"/>
    <w:rsid w:val="00476C51"/>
    <w:rsid w:val="004842AE"/>
    <w:rsid w:val="00486A7E"/>
    <w:rsid w:val="004A1C30"/>
    <w:rsid w:val="004A2A0C"/>
    <w:rsid w:val="004A7B45"/>
    <w:rsid w:val="004B19A2"/>
    <w:rsid w:val="004C4920"/>
    <w:rsid w:val="004C636B"/>
    <w:rsid w:val="004C6EE1"/>
    <w:rsid w:val="004D7468"/>
    <w:rsid w:val="004E416B"/>
    <w:rsid w:val="004E41D3"/>
    <w:rsid w:val="004E7E8C"/>
    <w:rsid w:val="004F0631"/>
    <w:rsid w:val="005053A5"/>
    <w:rsid w:val="005061E0"/>
    <w:rsid w:val="00506CFE"/>
    <w:rsid w:val="00525488"/>
    <w:rsid w:val="0052550A"/>
    <w:rsid w:val="00531C1A"/>
    <w:rsid w:val="00535877"/>
    <w:rsid w:val="00541FD0"/>
    <w:rsid w:val="00545F2E"/>
    <w:rsid w:val="00556CDE"/>
    <w:rsid w:val="005570C7"/>
    <w:rsid w:val="00560F68"/>
    <w:rsid w:val="00563E82"/>
    <w:rsid w:val="00567AF9"/>
    <w:rsid w:val="00570A35"/>
    <w:rsid w:val="00570C20"/>
    <w:rsid w:val="0057210B"/>
    <w:rsid w:val="00574541"/>
    <w:rsid w:val="00586B51"/>
    <w:rsid w:val="0058718B"/>
    <w:rsid w:val="005A197D"/>
    <w:rsid w:val="005B030E"/>
    <w:rsid w:val="005B1EAF"/>
    <w:rsid w:val="005B49E1"/>
    <w:rsid w:val="005B53B9"/>
    <w:rsid w:val="005C0573"/>
    <w:rsid w:val="005C61CC"/>
    <w:rsid w:val="005D3B08"/>
    <w:rsid w:val="005D6B08"/>
    <w:rsid w:val="005E55CF"/>
    <w:rsid w:val="005F2070"/>
    <w:rsid w:val="0061580B"/>
    <w:rsid w:val="00622E5A"/>
    <w:rsid w:val="00624FF6"/>
    <w:rsid w:val="00626FF4"/>
    <w:rsid w:val="00642C5A"/>
    <w:rsid w:val="0064335D"/>
    <w:rsid w:val="0064696D"/>
    <w:rsid w:val="0065594C"/>
    <w:rsid w:val="006575A5"/>
    <w:rsid w:val="0066323A"/>
    <w:rsid w:val="00670C95"/>
    <w:rsid w:val="00674CF0"/>
    <w:rsid w:val="00682B53"/>
    <w:rsid w:val="006875C8"/>
    <w:rsid w:val="006A3F51"/>
    <w:rsid w:val="006E20B3"/>
    <w:rsid w:val="006E33FB"/>
    <w:rsid w:val="006F68A2"/>
    <w:rsid w:val="0071116D"/>
    <w:rsid w:val="007206A3"/>
    <w:rsid w:val="00726ED8"/>
    <w:rsid w:val="00731ABF"/>
    <w:rsid w:val="007320DD"/>
    <w:rsid w:val="007341C1"/>
    <w:rsid w:val="007450CC"/>
    <w:rsid w:val="007450CF"/>
    <w:rsid w:val="007466C3"/>
    <w:rsid w:val="007516F9"/>
    <w:rsid w:val="007600F3"/>
    <w:rsid w:val="007759FA"/>
    <w:rsid w:val="0077721F"/>
    <w:rsid w:val="00777CD7"/>
    <w:rsid w:val="00785BC7"/>
    <w:rsid w:val="00793636"/>
    <w:rsid w:val="007946DE"/>
    <w:rsid w:val="007A17D7"/>
    <w:rsid w:val="007A31F2"/>
    <w:rsid w:val="007B00F6"/>
    <w:rsid w:val="007B1F26"/>
    <w:rsid w:val="007C297C"/>
    <w:rsid w:val="007E1D50"/>
    <w:rsid w:val="007E2866"/>
    <w:rsid w:val="007E352F"/>
    <w:rsid w:val="007E57A4"/>
    <w:rsid w:val="007F2C00"/>
    <w:rsid w:val="00802FE9"/>
    <w:rsid w:val="00803226"/>
    <w:rsid w:val="00804209"/>
    <w:rsid w:val="0082509A"/>
    <w:rsid w:val="0082596B"/>
    <w:rsid w:val="00835A8E"/>
    <w:rsid w:val="008476A0"/>
    <w:rsid w:val="0085147F"/>
    <w:rsid w:val="008570B5"/>
    <w:rsid w:val="00863372"/>
    <w:rsid w:val="008668ED"/>
    <w:rsid w:val="00867028"/>
    <w:rsid w:val="00874431"/>
    <w:rsid w:val="008851D4"/>
    <w:rsid w:val="008908AD"/>
    <w:rsid w:val="008914B6"/>
    <w:rsid w:val="008973EC"/>
    <w:rsid w:val="008B6E58"/>
    <w:rsid w:val="008C32FB"/>
    <w:rsid w:val="008C37C4"/>
    <w:rsid w:val="008C4A6E"/>
    <w:rsid w:val="008C54ED"/>
    <w:rsid w:val="008D2673"/>
    <w:rsid w:val="008D39D8"/>
    <w:rsid w:val="008D4518"/>
    <w:rsid w:val="008D462E"/>
    <w:rsid w:val="008D6D86"/>
    <w:rsid w:val="008E3632"/>
    <w:rsid w:val="008E6E5B"/>
    <w:rsid w:val="008E7B1A"/>
    <w:rsid w:val="008F5033"/>
    <w:rsid w:val="008F5D98"/>
    <w:rsid w:val="0090450E"/>
    <w:rsid w:val="00904CA2"/>
    <w:rsid w:val="00922AAC"/>
    <w:rsid w:val="00926AB5"/>
    <w:rsid w:val="009313C6"/>
    <w:rsid w:val="009329C7"/>
    <w:rsid w:val="00934159"/>
    <w:rsid w:val="00937049"/>
    <w:rsid w:val="00942632"/>
    <w:rsid w:val="009449C9"/>
    <w:rsid w:val="0095107B"/>
    <w:rsid w:val="00951321"/>
    <w:rsid w:val="00957EBE"/>
    <w:rsid w:val="00972F12"/>
    <w:rsid w:val="009735D9"/>
    <w:rsid w:val="0098444C"/>
    <w:rsid w:val="009935AD"/>
    <w:rsid w:val="0099488C"/>
    <w:rsid w:val="00994DBF"/>
    <w:rsid w:val="009968C1"/>
    <w:rsid w:val="009A1AF7"/>
    <w:rsid w:val="009B2CD0"/>
    <w:rsid w:val="009B355E"/>
    <w:rsid w:val="009C5E93"/>
    <w:rsid w:val="009D0C4F"/>
    <w:rsid w:val="009E2C96"/>
    <w:rsid w:val="009E75E0"/>
    <w:rsid w:val="009F4852"/>
    <w:rsid w:val="009F5C68"/>
    <w:rsid w:val="009F6AB2"/>
    <w:rsid w:val="009F721A"/>
    <w:rsid w:val="009F73BA"/>
    <w:rsid w:val="00A00CAD"/>
    <w:rsid w:val="00A07E4C"/>
    <w:rsid w:val="00A1172B"/>
    <w:rsid w:val="00A23319"/>
    <w:rsid w:val="00A374F2"/>
    <w:rsid w:val="00A42108"/>
    <w:rsid w:val="00A4556F"/>
    <w:rsid w:val="00A47D31"/>
    <w:rsid w:val="00A500F0"/>
    <w:rsid w:val="00A51F2D"/>
    <w:rsid w:val="00A539C1"/>
    <w:rsid w:val="00A760C0"/>
    <w:rsid w:val="00A86253"/>
    <w:rsid w:val="00A94375"/>
    <w:rsid w:val="00A95987"/>
    <w:rsid w:val="00A97FCD"/>
    <w:rsid w:val="00AA64E7"/>
    <w:rsid w:val="00AA69D0"/>
    <w:rsid w:val="00AA6ABE"/>
    <w:rsid w:val="00AC784B"/>
    <w:rsid w:val="00AD641E"/>
    <w:rsid w:val="00AE17B8"/>
    <w:rsid w:val="00AE455A"/>
    <w:rsid w:val="00AE4AE5"/>
    <w:rsid w:val="00AE6006"/>
    <w:rsid w:val="00AF5975"/>
    <w:rsid w:val="00AF5A4D"/>
    <w:rsid w:val="00AF706B"/>
    <w:rsid w:val="00B0111D"/>
    <w:rsid w:val="00B044C1"/>
    <w:rsid w:val="00B16683"/>
    <w:rsid w:val="00B177EE"/>
    <w:rsid w:val="00B201B1"/>
    <w:rsid w:val="00B444F3"/>
    <w:rsid w:val="00B4510A"/>
    <w:rsid w:val="00B53B1D"/>
    <w:rsid w:val="00B56B32"/>
    <w:rsid w:val="00B70745"/>
    <w:rsid w:val="00B714CB"/>
    <w:rsid w:val="00B95612"/>
    <w:rsid w:val="00BA5930"/>
    <w:rsid w:val="00BB095E"/>
    <w:rsid w:val="00BB33FB"/>
    <w:rsid w:val="00BC3BEA"/>
    <w:rsid w:val="00BD0F9A"/>
    <w:rsid w:val="00BD3D19"/>
    <w:rsid w:val="00BD6F47"/>
    <w:rsid w:val="00BD7E58"/>
    <w:rsid w:val="00BE3E7F"/>
    <w:rsid w:val="00BE4781"/>
    <w:rsid w:val="00BE4AAE"/>
    <w:rsid w:val="00BF4C8A"/>
    <w:rsid w:val="00C103E2"/>
    <w:rsid w:val="00C14995"/>
    <w:rsid w:val="00C168EB"/>
    <w:rsid w:val="00C20125"/>
    <w:rsid w:val="00C31A5A"/>
    <w:rsid w:val="00C33C7D"/>
    <w:rsid w:val="00C34366"/>
    <w:rsid w:val="00C40944"/>
    <w:rsid w:val="00C450FD"/>
    <w:rsid w:val="00C61B3A"/>
    <w:rsid w:val="00C63292"/>
    <w:rsid w:val="00C70819"/>
    <w:rsid w:val="00C75C09"/>
    <w:rsid w:val="00C85502"/>
    <w:rsid w:val="00C877BC"/>
    <w:rsid w:val="00C9220D"/>
    <w:rsid w:val="00CB0F21"/>
    <w:rsid w:val="00CB3C5B"/>
    <w:rsid w:val="00CB7E28"/>
    <w:rsid w:val="00CC3D08"/>
    <w:rsid w:val="00CC7272"/>
    <w:rsid w:val="00CD19DC"/>
    <w:rsid w:val="00CD31A1"/>
    <w:rsid w:val="00CE4E31"/>
    <w:rsid w:val="00CE72ED"/>
    <w:rsid w:val="00CF1CFE"/>
    <w:rsid w:val="00D03C82"/>
    <w:rsid w:val="00D04733"/>
    <w:rsid w:val="00D103BD"/>
    <w:rsid w:val="00D10B57"/>
    <w:rsid w:val="00D1168A"/>
    <w:rsid w:val="00D13A86"/>
    <w:rsid w:val="00D17ED7"/>
    <w:rsid w:val="00D334D5"/>
    <w:rsid w:val="00D405F0"/>
    <w:rsid w:val="00D545EF"/>
    <w:rsid w:val="00D569DB"/>
    <w:rsid w:val="00D62E00"/>
    <w:rsid w:val="00D85803"/>
    <w:rsid w:val="00D860A0"/>
    <w:rsid w:val="00D87638"/>
    <w:rsid w:val="00D904F8"/>
    <w:rsid w:val="00D909CA"/>
    <w:rsid w:val="00DA50C5"/>
    <w:rsid w:val="00DC0E06"/>
    <w:rsid w:val="00DC1556"/>
    <w:rsid w:val="00DD1604"/>
    <w:rsid w:val="00DD4607"/>
    <w:rsid w:val="00DE1FBA"/>
    <w:rsid w:val="00DE3BB1"/>
    <w:rsid w:val="00DE6A57"/>
    <w:rsid w:val="00DF587F"/>
    <w:rsid w:val="00E014BC"/>
    <w:rsid w:val="00E03A96"/>
    <w:rsid w:val="00E1476E"/>
    <w:rsid w:val="00E169BB"/>
    <w:rsid w:val="00E25930"/>
    <w:rsid w:val="00E2608D"/>
    <w:rsid w:val="00E35E89"/>
    <w:rsid w:val="00E43184"/>
    <w:rsid w:val="00E54637"/>
    <w:rsid w:val="00E6073D"/>
    <w:rsid w:val="00E629AE"/>
    <w:rsid w:val="00E74EDB"/>
    <w:rsid w:val="00E75378"/>
    <w:rsid w:val="00E9114F"/>
    <w:rsid w:val="00E97E39"/>
    <w:rsid w:val="00EA22CA"/>
    <w:rsid w:val="00EA3394"/>
    <w:rsid w:val="00EB53BD"/>
    <w:rsid w:val="00ED20C7"/>
    <w:rsid w:val="00EE71A2"/>
    <w:rsid w:val="00EF067E"/>
    <w:rsid w:val="00EF6779"/>
    <w:rsid w:val="00EF7EAA"/>
    <w:rsid w:val="00F10F8A"/>
    <w:rsid w:val="00F1109B"/>
    <w:rsid w:val="00F15618"/>
    <w:rsid w:val="00F16772"/>
    <w:rsid w:val="00F21518"/>
    <w:rsid w:val="00F2213E"/>
    <w:rsid w:val="00F261B8"/>
    <w:rsid w:val="00F3306A"/>
    <w:rsid w:val="00F40536"/>
    <w:rsid w:val="00F555CD"/>
    <w:rsid w:val="00F658F1"/>
    <w:rsid w:val="00F736C3"/>
    <w:rsid w:val="00F7726F"/>
    <w:rsid w:val="00F773F3"/>
    <w:rsid w:val="00F823D8"/>
    <w:rsid w:val="00F95A2E"/>
    <w:rsid w:val="00FA312A"/>
    <w:rsid w:val="00FA6E89"/>
    <w:rsid w:val="00FB08BE"/>
    <w:rsid w:val="00FB1914"/>
    <w:rsid w:val="00FB3553"/>
    <w:rsid w:val="00FB7D50"/>
    <w:rsid w:val="00FB7FFA"/>
    <w:rsid w:val="00FC30F3"/>
    <w:rsid w:val="00FD2ABB"/>
    <w:rsid w:val="00FE488F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E0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0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0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75E0"/>
    <w:pPr>
      <w:keepNext/>
      <w:spacing w:before="100" w:beforeAutospacing="1" w:after="100" w:afterAutospacing="1"/>
      <w:jc w:val="center"/>
      <w:outlineLvl w:val="2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1A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1A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1AA1"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9E75E0"/>
    <w:pPr>
      <w:spacing w:before="100" w:beforeAutospacing="1" w:after="100" w:afterAutospacing="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1AA1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9E75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1AA1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75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AA1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E75E0"/>
    <w:pPr>
      <w:overflowPunct/>
      <w:autoSpaceDE/>
      <w:autoSpaceDN/>
      <w:adjustRightInd/>
      <w:ind w:left="360" w:hanging="720"/>
      <w:jc w:val="both"/>
      <w:textAlignment w:val="auto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1AA1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E75E0"/>
    <w:pPr>
      <w:tabs>
        <w:tab w:val="left" w:pos="2460"/>
      </w:tabs>
      <w:overflowPunct/>
      <w:autoSpaceDE/>
      <w:autoSpaceDN/>
      <w:adjustRightInd/>
      <w:spacing w:line="360" w:lineRule="auto"/>
      <w:ind w:left="360" w:hanging="360"/>
      <w:textAlignment w:val="auto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1AA1"/>
    <w:rPr>
      <w:rFonts w:cs="Times New Roman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CD31A1"/>
    <w:pPr>
      <w:overflowPunct/>
      <w:autoSpaceDE/>
      <w:autoSpaceDN/>
      <w:adjustRightInd/>
      <w:spacing w:after="120"/>
      <w:textAlignment w:val="auto"/>
    </w:pPr>
    <w:rPr>
      <w:b/>
      <w:bCs/>
      <w:noProof/>
      <w:lang w:eastAsia="lt-LT"/>
    </w:rPr>
  </w:style>
  <w:style w:type="character" w:styleId="Hyperlink">
    <w:name w:val="Hyperlink"/>
    <w:basedOn w:val="DefaultParagraphFont"/>
    <w:uiPriority w:val="99"/>
    <w:rsid w:val="000F30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AA1"/>
    <w:rPr>
      <w:rFonts w:cs="Times New Roman"/>
      <w:sz w:val="2"/>
      <w:szCs w:val="2"/>
      <w:lang w:eastAsia="en-US"/>
    </w:rPr>
  </w:style>
  <w:style w:type="paragraph" w:customStyle="1" w:styleId="Char1CharChar">
    <w:name w:val="Char1 Char Char"/>
    <w:basedOn w:val="Normal"/>
    <w:uiPriority w:val="99"/>
    <w:rsid w:val="00414B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1E01D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E3BB1"/>
    <w:pPr>
      <w:overflowPunct/>
      <w:autoSpaceDE/>
      <w:autoSpaceDN/>
      <w:adjustRightInd/>
      <w:ind w:left="1296"/>
      <w:textAlignment w:val="auto"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2837</Words>
  <Characters>1618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PKuzmarskis</dc:creator>
  <cp:keywords/>
  <dc:description/>
  <cp:lastModifiedBy>Comp</cp:lastModifiedBy>
  <cp:revision>9</cp:revision>
  <cp:lastPrinted>2018-08-28T06:04:00Z</cp:lastPrinted>
  <dcterms:created xsi:type="dcterms:W3CDTF">2018-08-28T05:52:00Z</dcterms:created>
  <dcterms:modified xsi:type="dcterms:W3CDTF">2018-08-29T06:44:00Z</dcterms:modified>
</cp:coreProperties>
</file>