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DA" w:rsidRPr="004858A7" w:rsidRDefault="00236CDA" w:rsidP="004858A7">
      <w:pPr>
        <w:jc w:val="both"/>
        <w:rPr>
          <w:rFonts w:ascii="Times New Roman" w:hAnsi="Times New Roman" w:cs="Times New Roman"/>
        </w:rPr>
      </w:pPr>
      <w:r w:rsidRPr="004858A7">
        <w:rPr>
          <w:rFonts w:ascii="Times New Roman" w:hAnsi="Times New Roman" w:cs="Times New Roman"/>
          <w:color w:val="000000"/>
          <w:lang w:val="pt-PT"/>
        </w:rPr>
        <w:t xml:space="preserve"> </w:t>
      </w:r>
    </w:p>
    <w:tbl>
      <w:tblPr>
        <w:tblW w:w="0" w:type="auto"/>
        <w:tblInd w:w="108" w:type="dxa"/>
        <w:tblLayout w:type="fixed"/>
        <w:tblLook w:val="0000"/>
      </w:tblPr>
      <w:tblGrid>
        <w:gridCol w:w="9639"/>
      </w:tblGrid>
      <w:tr w:rsidR="00236CDA" w:rsidRPr="004858A7" w:rsidTr="00CE6247">
        <w:trPr>
          <w:trHeight w:val="1055"/>
        </w:trPr>
        <w:tc>
          <w:tcPr>
            <w:tcW w:w="9639" w:type="dxa"/>
          </w:tcPr>
          <w:p w:rsidR="00236CDA" w:rsidRPr="004858A7" w:rsidRDefault="00236CDA" w:rsidP="00CE6247">
            <w:pPr>
              <w:tabs>
                <w:tab w:val="left" w:pos="1080"/>
              </w:tabs>
              <w:overflowPunct w:val="0"/>
              <w:autoSpaceDE w:val="0"/>
              <w:autoSpaceDN w:val="0"/>
              <w:adjustRightInd w:val="0"/>
              <w:spacing w:line="240" w:lineRule="atLeast"/>
              <w:jc w:val="center"/>
              <w:rPr>
                <w:rFonts w:ascii="Times New Roman" w:hAnsi="Times New Roman" w:cs="Times New Roman"/>
                <w:sz w:val="24"/>
                <w:szCs w:val="24"/>
              </w:rPr>
            </w:pPr>
            <w:r w:rsidRPr="00AB6F7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style="mso-next-textbox:#_x0000_s1026">
                    <w:txbxContent>
                      <w:p w:rsidR="00236CDA" w:rsidRDefault="00236CDA" w:rsidP="004858A7"/>
                    </w:txbxContent>
                  </v:textbox>
                  <w10:wrap anchorx="page"/>
                </v:shape>
              </w:pict>
            </w:r>
          </w:p>
        </w:tc>
      </w:tr>
      <w:tr w:rsidR="00236CDA" w:rsidRPr="004858A7" w:rsidTr="00CE6247">
        <w:trPr>
          <w:trHeight w:val="1725"/>
        </w:trPr>
        <w:tc>
          <w:tcPr>
            <w:tcW w:w="9639" w:type="dxa"/>
          </w:tcPr>
          <w:p w:rsidR="00236CDA" w:rsidRPr="004858A7" w:rsidRDefault="00236CDA" w:rsidP="00CE6247">
            <w:pPr>
              <w:pStyle w:val="Heading2"/>
              <w:rPr>
                <w:color w:val="auto"/>
                <w:szCs w:val="24"/>
              </w:rPr>
            </w:pPr>
            <w:r w:rsidRPr="004858A7">
              <w:rPr>
                <w:color w:val="auto"/>
                <w:szCs w:val="24"/>
              </w:rPr>
              <w:t>Pagėgių savivaldybės taryba</w:t>
            </w:r>
          </w:p>
          <w:p w:rsidR="00236CDA" w:rsidRPr="004858A7" w:rsidRDefault="00236CDA" w:rsidP="00CE6247">
            <w:pPr>
              <w:spacing w:before="120"/>
              <w:jc w:val="center"/>
              <w:rPr>
                <w:rFonts w:ascii="Times New Roman" w:hAnsi="Times New Roman" w:cs="Times New Roman"/>
                <w:b/>
                <w:bCs/>
                <w:caps/>
                <w:sz w:val="24"/>
                <w:szCs w:val="24"/>
              </w:rPr>
            </w:pPr>
          </w:p>
          <w:p w:rsidR="00236CDA" w:rsidRPr="004858A7" w:rsidRDefault="00236CDA" w:rsidP="004858A7">
            <w:pPr>
              <w:jc w:val="center"/>
              <w:rPr>
                <w:rFonts w:ascii="Times New Roman" w:hAnsi="Times New Roman" w:cs="Times New Roman"/>
                <w:b/>
                <w:bCs/>
                <w:caps/>
                <w:sz w:val="24"/>
                <w:szCs w:val="24"/>
              </w:rPr>
            </w:pPr>
            <w:r w:rsidRPr="004858A7">
              <w:rPr>
                <w:rFonts w:ascii="Times New Roman" w:hAnsi="Times New Roman" w:cs="Times New Roman"/>
                <w:b/>
                <w:bCs/>
                <w:caps/>
                <w:sz w:val="24"/>
                <w:szCs w:val="24"/>
              </w:rPr>
              <w:t>sprendimas</w:t>
            </w:r>
          </w:p>
          <w:p w:rsidR="00236CDA" w:rsidRPr="004858A7" w:rsidRDefault="00236CDA" w:rsidP="004858A7">
            <w:pPr>
              <w:pStyle w:val="Header"/>
              <w:spacing w:line="360" w:lineRule="auto"/>
              <w:jc w:val="center"/>
              <w:rPr>
                <w:rFonts w:ascii="Times New Roman" w:hAnsi="Times New Roman" w:cs="Times New Roman"/>
                <w:sz w:val="24"/>
                <w:szCs w:val="24"/>
              </w:rPr>
            </w:pPr>
            <w:r w:rsidRPr="004858A7">
              <w:rPr>
                <w:rFonts w:ascii="Times New Roman" w:hAnsi="Times New Roman" w:cs="Times New Roman"/>
                <w:b/>
                <w:bCs/>
                <w:sz w:val="24"/>
                <w:szCs w:val="24"/>
              </w:rPr>
              <w:t xml:space="preserve">DĖL PAGĖGIŲ SAVIVALDYBĖS VISUOMENĖS SVEIKATOS STEBĖSENOS 2015 METŲ ATASKAITOS PATVIRTINIMO </w:t>
            </w:r>
          </w:p>
        </w:tc>
      </w:tr>
      <w:tr w:rsidR="00236CDA" w:rsidRPr="004858A7" w:rsidTr="00CE6247">
        <w:trPr>
          <w:trHeight w:val="703"/>
        </w:trPr>
        <w:tc>
          <w:tcPr>
            <w:tcW w:w="9639" w:type="dxa"/>
          </w:tcPr>
          <w:p w:rsidR="00236CDA" w:rsidRPr="004858A7" w:rsidRDefault="00236CDA" w:rsidP="00CE6247">
            <w:pPr>
              <w:pStyle w:val="Heading2"/>
              <w:rPr>
                <w:b w:val="0"/>
                <w:bCs w:val="0"/>
                <w:caps w:val="0"/>
                <w:color w:val="auto"/>
              </w:rPr>
            </w:pPr>
            <w:r>
              <w:rPr>
                <w:b w:val="0"/>
                <w:bCs w:val="0"/>
                <w:caps w:val="0"/>
                <w:color w:val="auto"/>
              </w:rPr>
              <w:t>2017 m. kovo 28 d. Nr. T-41</w:t>
            </w:r>
          </w:p>
          <w:p w:rsidR="00236CDA" w:rsidRPr="004858A7" w:rsidRDefault="00236CDA" w:rsidP="00CE6247">
            <w:pPr>
              <w:overflowPunct w:val="0"/>
              <w:autoSpaceDE w:val="0"/>
              <w:autoSpaceDN w:val="0"/>
              <w:adjustRightInd w:val="0"/>
              <w:jc w:val="center"/>
              <w:rPr>
                <w:rFonts w:ascii="Times New Roman" w:hAnsi="Times New Roman" w:cs="Times New Roman"/>
                <w:szCs w:val="20"/>
              </w:rPr>
            </w:pPr>
            <w:r w:rsidRPr="004858A7">
              <w:rPr>
                <w:rFonts w:ascii="Times New Roman" w:hAnsi="Times New Roman" w:cs="Times New Roman"/>
              </w:rPr>
              <w:t>Pagėgiai</w:t>
            </w:r>
          </w:p>
        </w:tc>
      </w:tr>
    </w:tbl>
    <w:p w:rsidR="00236CDA" w:rsidRPr="004858A7" w:rsidRDefault="00236CDA" w:rsidP="004858A7">
      <w:pPr>
        <w:jc w:val="both"/>
        <w:rPr>
          <w:rFonts w:ascii="Times New Roman" w:hAnsi="Times New Roman" w:cs="Times New Roman"/>
          <w:sz w:val="24"/>
          <w:szCs w:val="24"/>
        </w:rPr>
      </w:pPr>
      <w:r w:rsidRPr="004858A7">
        <w:rPr>
          <w:rFonts w:ascii="Times New Roman" w:hAnsi="Times New Roman" w:cs="Times New Roman"/>
          <w:sz w:val="24"/>
          <w:szCs w:val="24"/>
        </w:rPr>
        <w:t xml:space="preserve">               Vadovaudamasi Lietuvos Respublikos vietos savivaldos įstatymo 16 straipsnio 4 dalimi, Lietuvos Respublikos visuomenės sveikatos stebėsenos (monitoringo) įstatymo 10 straipsnio 2 dalies 5 punktu, Bendrųjų savivaldybių visuomenės sveikatos stebėsenos nuostatų, patvirtintų Lietuvos Respublikos sveikatos apsaugos ministro 2003 m. rugpjūčio 11 d. įsakymu Nr. V-488</w:t>
      </w:r>
      <w:r w:rsidRPr="004858A7">
        <w:rPr>
          <w:rFonts w:ascii="Times New Roman" w:hAnsi="Times New Roman" w:cs="Times New Roman"/>
          <w:b/>
          <w:bCs/>
          <w:sz w:val="24"/>
          <w:szCs w:val="24"/>
        </w:rPr>
        <w:t xml:space="preserve"> </w:t>
      </w:r>
      <w:r w:rsidRPr="004858A7">
        <w:rPr>
          <w:rFonts w:ascii="Times New Roman" w:hAnsi="Times New Roman" w:cs="Times New Roman"/>
          <w:bCs/>
          <w:sz w:val="24"/>
          <w:szCs w:val="24"/>
        </w:rPr>
        <w:t>„Dėl Bendrųjų savivaldybių visuomenės sveikatos stebėsenos nuostatų patvirtinimo“,</w:t>
      </w:r>
      <w:r w:rsidRPr="004858A7">
        <w:rPr>
          <w:rFonts w:ascii="Times New Roman" w:hAnsi="Times New Roman" w:cs="Times New Roman"/>
          <w:sz w:val="24"/>
          <w:szCs w:val="24"/>
        </w:rPr>
        <w:t xml:space="preserve"> 6.3 ir 6.4 punktais ir atsižvelgdama į Šilutės rajono savivaldybės visuomenės sveikatos biuro 2017 m. vasario 24 d. raštą Nr. S-(1.11)-47 ,,Dėl Pagėgių savivaldybės visuomenės sveikatos stebėsenos 2015 metų ataskaitos“, Pagėgių savivaldybės taryba  n u s p r e n d ž i a:</w:t>
      </w:r>
    </w:p>
    <w:p w:rsidR="00236CDA" w:rsidRPr="004858A7" w:rsidRDefault="00236CDA" w:rsidP="004858A7">
      <w:pPr>
        <w:numPr>
          <w:ilvl w:val="0"/>
          <w:numId w:val="15"/>
        </w:numPr>
        <w:tabs>
          <w:tab w:val="clear" w:pos="720"/>
          <w:tab w:val="num" w:pos="1122"/>
          <w:tab w:val="left" w:pos="1320"/>
        </w:tabs>
        <w:spacing w:after="0" w:line="360" w:lineRule="auto"/>
        <w:ind w:left="0" w:firstLine="748"/>
        <w:jc w:val="both"/>
        <w:rPr>
          <w:rFonts w:ascii="Times New Roman" w:hAnsi="Times New Roman" w:cs="Times New Roman"/>
          <w:sz w:val="24"/>
          <w:szCs w:val="24"/>
        </w:rPr>
      </w:pPr>
      <w:r w:rsidRPr="004858A7">
        <w:rPr>
          <w:rFonts w:ascii="Times New Roman" w:hAnsi="Times New Roman" w:cs="Times New Roman"/>
          <w:sz w:val="24"/>
          <w:szCs w:val="24"/>
        </w:rPr>
        <w:t>Patvirtinti Pagėgių savivaldybės visuomenės sveikatos stebėsenos 2015 metų ataskaitą (pridedama).</w:t>
      </w:r>
    </w:p>
    <w:p w:rsidR="00236CDA" w:rsidRPr="004858A7" w:rsidRDefault="00236CDA" w:rsidP="004858A7">
      <w:pPr>
        <w:widowControl w:val="0"/>
        <w:numPr>
          <w:ilvl w:val="0"/>
          <w:numId w:val="15"/>
        </w:numPr>
        <w:shd w:val="clear" w:color="auto" w:fill="FFFFFF"/>
        <w:tabs>
          <w:tab w:val="left" w:pos="1100"/>
        </w:tabs>
        <w:autoSpaceDE w:val="0"/>
        <w:autoSpaceDN w:val="0"/>
        <w:adjustRightInd w:val="0"/>
        <w:spacing w:after="0" w:line="360" w:lineRule="auto"/>
        <w:ind w:left="0" w:firstLine="748"/>
        <w:jc w:val="both"/>
        <w:rPr>
          <w:rFonts w:ascii="Times New Roman" w:hAnsi="Times New Roman" w:cs="Times New Roman"/>
          <w:sz w:val="24"/>
          <w:szCs w:val="24"/>
        </w:rPr>
      </w:pPr>
      <w:r w:rsidRPr="004858A7">
        <w:rPr>
          <w:rFonts w:ascii="Times New Roman" w:hAnsi="Times New Roman" w:cs="Times New Roman"/>
          <w:sz w:val="24"/>
          <w:szCs w:val="24"/>
        </w:rPr>
        <w:t xml:space="preserve">Apie sprendimo priėmimą paskelbti Pagėgių savivaldybės interneto svetainėje  </w:t>
      </w:r>
      <w:hyperlink r:id="rId8" w:history="1">
        <w:r w:rsidRPr="004858A7">
          <w:rPr>
            <w:rStyle w:val="Hyperlink"/>
            <w:rFonts w:ascii="Times New Roman" w:hAnsi="Times New Roman"/>
            <w:sz w:val="24"/>
            <w:szCs w:val="24"/>
          </w:rPr>
          <w:t>www.pagegiai.lt</w:t>
        </w:r>
      </w:hyperlink>
      <w:r w:rsidRPr="004858A7">
        <w:rPr>
          <w:rFonts w:ascii="Times New Roman" w:hAnsi="Times New Roman" w:cs="Times New Roman"/>
          <w:sz w:val="24"/>
          <w:szCs w:val="24"/>
        </w:rPr>
        <w:t>.</w:t>
      </w:r>
    </w:p>
    <w:p w:rsidR="00236CDA" w:rsidRPr="004858A7" w:rsidRDefault="00236CDA" w:rsidP="004858A7">
      <w:pPr>
        <w:spacing w:line="360" w:lineRule="auto"/>
        <w:jc w:val="both"/>
        <w:rPr>
          <w:rFonts w:ascii="Times New Roman" w:hAnsi="Times New Roman" w:cs="Times New Roman"/>
          <w:sz w:val="24"/>
          <w:szCs w:val="24"/>
          <w:lang w:val="pt-BR"/>
        </w:rPr>
      </w:pPr>
      <w:r w:rsidRPr="004858A7">
        <w:rPr>
          <w:rFonts w:ascii="Times New Roman" w:hAnsi="Times New Roman" w:cs="Times New Roman"/>
          <w:sz w:val="24"/>
          <w:szCs w:val="24"/>
        </w:rPr>
        <w:t xml:space="preserve">             Šis sprendimas gali būti skundžiamas Lietuvos Respublikos administracinių bylų teisenos įstatymo nustatyta tvarka.</w:t>
      </w:r>
      <w:bookmarkStart w:id="0" w:name="part_3ca348a56f6841c68d2d65d5b5620f7f"/>
      <w:bookmarkEnd w:id="0"/>
    </w:p>
    <w:p w:rsidR="00236CDA" w:rsidRDefault="00236CDA" w:rsidP="00B764AA">
      <w:pPr>
        <w:pStyle w:val="Header"/>
        <w:rPr>
          <w:rFonts w:ascii="Times New Roman" w:hAnsi="Times New Roman" w:cs="Times New Roman"/>
          <w:b/>
          <w:bCs/>
          <w:color w:val="000000"/>
          <w:sz w:val="24"/>
          <w:szCs w:val="24"/>
        </w:rPr>
      </w:pPr>
    </w:p>
    <w:p w:rsidR="00236CDA" w:rsidRPr="00B764AA" w:rsidRDefault="00236CDA" w:rsidP="00B764AA">
      <w:pPr>
        <w:pStyle w:val="NormalWeb"/>
        <w:spacing w:line="360" w:lineRule="auto"/>
        <w:rPr>
          <w:rFonts w:ascii="Times New Roman" w:hAnsi="Times New Roman" w:cs="Times New Roman"/>
          <w:iCs/>
          <w:color w:val="000000"/>
          <w:lang w:val="pt-PT"/>
        </w:rPr>
      </w:pPr>
      <w:r w:rsidRPr="00B764AA">
        <w:rPr>
          <w:rFonts w:ascii="Times New Roman" w:eastAsia="SimSun" w:hAnsi="Times New Roman" w:cs="Times New Roman"/>
          <w:lang w:val="pt-BR" w:eastAsia="zh-CN"/>
        </w:rPr>
        <w:t>Savivaldybės meras</w:t>
      </w:r>
      <w:r w:rsidRPr="00B764AA">
        <w:rPr>
          <w:rFonts w:ascii="Times New Roman" w:eastAsia="SimSun" w:hAnsi="Times New Roman" w:cs="Times New Roman"/>
          <w:lang w:val="pt-BR" w:eastAsia="zh-CN"/>
        </w:rPr>
        <w:tab/>
      </w:r>
      <w:r w:rsidRPr="00B764AA">
        <w:rPr>
          <w:rFonts w:ascii="Times New Roman" w:eastAsia="SimSun" w:hAnsi="Times New Roman" w:cs="Times New Roman"/>
          <w:lang w:val="pt-BR" w:eastAsia="zh-CN"/>
        </w:rPr>
        <w:tab/>
      </w:r>
      <w:r w:rsidRPr="00B764AA">
        <w:rPr>
          <w:rFonts w:ascii="Times New Roman" w:eastAsia="SimSun" w:hAnsi="Times New Roman" w:cs="Times New Roman"/>
          <w:lang w:val="pt-BR" w:eastAsia="zh-CN"/>
        </w:rPr>
        <w:tab/>
      </w:r>
      <w:r w:rsidRPr="00B764AA">
        <w:rPr>
          <w:rFonts w:ascii="Times New Roman" w:eastAsia="SimSun" w:hAnsi="Times New Roman" w:cs="Times New Roman"/>
          <w:lang w:val="pt-BR" w:eastAsia="zh-CN"/>
        </w:rPr>
        <w:tab/>
        <w:t xml:space="preserve">                         </w:t>
      </w:r>
      <w:r>
        <w:rPr>
          <w:rFonts w:ascii="Times New Roman" w:eastAsia="SimSun" w:hAnsi="Times New Roman" w:cs="Times New Roman"/>
          <w:lang w:val="pt-BR" w:eastAsia="zh-CN"/>
        </w:rPr>
        <w:t xml:space="preserve">                       </w:t>
      </w:r>
      <w:r w:rsidRPr="00B764AA">
        <w:rPr>
          <w:rFonts w:ascii="Times New Roman" w:eastAsia="SimSun" w:hAnsi="Times New Roman" w:cs="Times New Roman"/>
          <w:lang w:val="pt-BR" w:eastAsia="zh-CN"/>
        </w:rPr>
        <w:t xml:space="preserve">             Virginijus Komskis</w:t>
      </w:r>
      <w:r w:rsidRPr="00B764AA">
        <w:rPr>
          <w:rFonts w:ascii="Times New Roman" w:hAnsi="Times New Roman" w:cs="Times New Roman"/>
          <w:iCs/>
          <w:color w:val="000000"/>
          <w:lang w:val="pt-PT"/>
        </w:rPr>
        <w:t xml:space="preserve">      </w:t>
      </w:r>
    </w:p>
    <w:p w:rsidR="00236CDA" w:rsidRDefault="00236CDA" w:rsidP="00B764AA">
      <w:pPr>
        <w:pStyle w:val="Header"/>
        <w:rPr>
          <w:rFonts w:ascii="Times New Roman" w:hAnsi="Times New Roman" w:cs="Times New Roman"/>
          <w:b/>
          <w:bCs/>
          <w:color w:val="000000"/>
          <w:sz w:val="24"/>
          <w:szCs w:val="24"/>
        </w:rPr>
      </w:pPr>
    </w:p>
    <w:p w:rsidR="00236CDA" w:rsidRDefault="00236CDA" w:rsidP="00C65C59">
      <w:pPr>
        <w:pStyle w:val="Header"/>
        <w:jc w:val="center"/>
        <w:rPr>
          <w:rFonts w:ascii="Times New Roman" w:hAnsi="Times New Roman" w:cs="Times New Roman"/>
          <w:b/>
          <w:bCs/>
          <w:color w:val="000000"/>
          <w:sz w:val="24"/>
          <w:szCs w:val="24"/>
        </w:rPr>
      </w:pPr>
    </w:p>
    <w:p w:rsidR="00236CDA" w:rsidRDefault="00236CDA" w:rsidP="00C65C59">
      <w:pPr>
        <w:pStyle w:val="Header"/>
        <w:jc w:val="center"/>
        <w:rPr>
          <w:rFonts w:ascii="Times New Roman" w:hAnsi="Times New Roman" w:cs="Times New Roman"/>
          <w:b/>
          <w:bCs/>
          <w:color w:val="000000"/>
          <w:sz w:val="24"/>
          <w:szCs w:val="24"/>
        </w:rPr>
      </w:pPr>
    </w:p>
    <w:p w:rsidR="00236CDA" w:rsidRDefault="00236CDA" w:rsidP="00B764AA">
      <w:pPr>
        <w:pStyle w:val="NormalWeb"/>
        <w:spacing w:before="0" w:beforeAutospacing="0" w:after="0" w:afterAutospacing="0"/>
        <w:rPr>
          <w:rFonts w:ascii="Times New Roman" w:hAnsi="Times New Roman" w:cs="Times New Roman"/>
          <w:b/>
          <w:bCs/>
          <w:color w:val="000000"/>
          <w:lang w:val="lt-LT"/>
        </w:rPr>
      </w:pPr>
    </w:p>
    <w:p w:rsidR="00236CDA" w:rsidRDefault="00236CDA" w:rsidP="00B764AA">
      <w:pPr>
        <w:pStyle w:val="NormalWeb"/>
        <w:spacing w:before="0" w:beforeAutospacing="0" w:after="0" w:afterAutospacing="0"/>
        <w:rPr>
          <w:rFonts w:ascii="Times New Roman" w:hAnsi="Times New Roman" w:cs="Times New Roman"/>
          <w:b/>
          <w:bCs/>
          <w:color w:val="000000"/>
          <w:lang w:val="lt-LT"/>
        </w:rPr>
      </w:pPr>
    </w:p>
    <w:p w:rsidR="00236CDA" w:rsidRDefault="00236CDA" w:rsidP="00B764AA">
      <w:pPr>
        <w:pStyle w:val="NormalWeb"/>
        <w:spacing w:before="0" w:beforeAutospacing="0" w:after="0" w:afterAutospacing="0"/>
        <w:rPr>
          <w:rFonts w:ascii="Times New Roman" w:hAnsi="Times New Roman" w:cs="Times New Roman"/>
          <w:color w:val="000000"/>
          <w:lang w:val="pt-PT"/>
        </w:rPr>
      </w:pPr>
    </w:p>
    <w:p w:rsidR="00236CDA" w:rsidRDefault="00236CDA" w:rsidP="00B764AA">
      <w:pPr>
        <w:pStyle w:val="NormalWeb"/>
        <w:tabs>
          <w:tab w:val="left" w:pos="7260"/>
        </w:tabs>
        <w:spacing w:before="0" w:beforeAutospacing="0" w:after="0" w:afterAutospacing="0"/>
        <w:rPr>
          <w:rFonts w:ascii="Times New Roman" w:hAnsi="Times New Roman" w:cs="Times New Roman"/>
          <w:color w:val="000000"/>
          <w:lang w:val="pt-PT"/>
        </w:rPr>
      </w:pPr>
    </w:p>
    <w:p w:rsidR="00236CDA" w:rsidRDefault="00236CDA" w:rsidP="00B764AA">
      <w:pPr>
        <w:pStyle w:val="NormalWeb"/>
        <w:tabs>
          <w:tab w:val="left" w:pos="7260"/>
        </w:tabs>
        <w:spacing w:before="0" w:beforeAutospacing="0" w:after="0" w:afterAutospacing="0"/>
        <w:rPr>
          <w:rFonts w:ascii="Times New Roman" w:hAnsi="Times New Roman" w:cs="Times New Roman"/>
          <w:color w:val="000000"/>
          <w:lang w:val="pt-PT"/>
        </w:rPr>
      </w:pPr>
    </w:p>
    <w:p w:rsidR="00236CDA" w:rsidRPr="00BC6541" w:rsidRDefault="00236CDA" w:rsidP="00B764AA">
      <w:pPr>
        <w:pStyle w:val="NormalWeb"/>
        <w:tabs>
          <w:tab w:val="left" w:pos="7260"/>
        </w:tabs>
        <w:spacing w:before="0" w:beforeAutospacing="0" w:after="0" w:afterAutospacing="0"/>
        <w:rPr>
          <w:rFonts w:ascii="Times New Roman" w:hAnsi="Times New Roman" w:cs="Times New Roman"/>
          <w:color w:val="000000"/>
          <w:lang w:val="pt-PT"/>
        </w:rPr>
      </w:pPr>
      <w:r>
        <w:rPr>
          <w:rFonts w:ascii="Times New Roman" w:hAnsi="Times New Roman" w:cs="Times New Roman"/>
          <w:color w:val="000000"/>
          <w:lang w:val="pt-PT"/>
        </w:rPr>
        <w:t xml:space="preserve">                                                                                                                      </w:t>
      </w:r>
      <w:r w:rsidRPr="00BC6541">
        <w:rPr>
          <w:rFonts w:ascii="Times New Roman" w:hAnsi="Times New Roman" w:cs="Times New Roman"/>
          <w:color w:val="000000"/>
          <w:lang w:val="pt-PT"/>
        </w:rPr>
        <w:t>P</w:t>
      </w:r>
      <w:r>
        <w:rPr>
          <w:rFonts w:ascii="Times New Roman" w:hAnsi="Times New Roman" w:cs="Times New Roman"/>
          <w:color w:val="000000"/>
          <w:lang w:val="pt-PT"/>
        </w:rPr>
        <w:t>ATVIRTINTA</w:t>
      </w:r>
      <w:r w:rsidRPr="00BC6541">
        <w:rPr>
          <w:rFonts w:ascii="Times New Roman" w:hAnsi="Times New Roman" w:cs="Times New Roman"/>
          <w:color w:val="000000"/>
          <w:lang w:val="pt-PT"/>
        </w:rPr>
        <w:t>:</w:t>
      </w:r>
    </w:p>
    <w:p w:rsidR="00236CDA" w:rsidRPr="00BC6541" w:rsidRDefault="00236CDA" w:rsidP="00B764AA">
      <w:pPr>
        <w:pStyle w:val="NormalWeb"/>
        <w:tabs>
          <w:tab w:val="left" w:pos="7260"/>
        </w:tabs>
        <w:spacing w:before="0" w:beforeAutospacing="0" w:after="0" w:afterAutospacing="0"/>
        <w:jc w:val="center"/>
        <w:rPr>
          <w:rFonts w:ascii="Times New Roman" w:hAnsi="Times New Roman" w:cs="Times New Roman"/>
          <w:color w:val="000000"/>
          <w:lang w:val="pt-PT"/>
        </w:rPr>
      </w:pPr>
      <w:r>
        <w:rPr>
          <w:rFonts w:ascii="Times New Roman" w:hAnsi="Times New Roman" w:cs="Times New Roman"/>
          <w:color w:val="000000"/>
          <w:lang w:val="pt-PT"/>
        </w:rPr>
        <w:t xml:space="preserve">                                                                                                                     </w:t>
      </w:r>
      <w:r w:rsidRPr="00BC6541">
        <w:rPr>
          <w:rFonts w:ascii="Times New Roman" w:hAnsi="Times New Roman" w:cs="Times New Roman"/>
          <w:color w:val="000000"/>
          <w:lang w:val="pt-PT"/>
        </w:rPr>
        <w:t>Pagėgių savivaldybės tarybos</w:t>
      </w:r>
    </w:p>
    <w:p w:rsidR="00236CDA" w:rsidRPr="00BC6541" w:rsidRDefault="00236CDA" w:rsidP="00B764AA">
      <w:pPr>
        <w:pStyle w:val="NormalWeb"/>
        <w:tabs>
          <w:tab w:val="left" w:pos="7100"/>
          <w:tab w:val="left" w:pos="7260"/>
        </w:tabs>
        <w:spacing w:before="0" w:beforeAutospacing="0" w:after="0" w:afterAutospacing="0"/>
        <w:jc w:val="center"/>
        <w:rPr>
          <w:rFonts w:ascii="Times New Roman" w:hAnsi="Times New Roman" w:cs="Times New Roman"/>
          <w:color w:val="000000"/>
          <w:lang w:val="pt-PT"/>
        </w:rPr>
      </w:pPr>
      <w:r>
        <w:rPr>
          <w:rFonts w:ascii="Times New Roman" w:hAnsi="Times New Roman" w:cs="Times New Roman"/>
          <w:color w:val="000000"/>
          <w:lang w:val="pt-PT"/>
        </w:rPr>
        <w:t xml:space="preserve">                                                                                                    </w:t>
      </w:r>
      <w:r w:rsidRPr="00BC6541">
        <w:rPr>
          <w:rFonts w:ascii="Times New Roman" w:hAnsi="Times New Roman" w:cs="Times New Roman"/>
          <w:color w:val="000000"/>
          <w:lang w:val="pt-PT"/>
        </w:rPr>
        <w:t>201</w:t>
      </w:r>
      <w:r>
        <w:rPr>
          <w:rFonts w:ascii="Times New Roman" w:hAnsi="Times New Roman" w:cs="Times New Roman"/>
          <w:color w:val="000000"/>
          <w:lang w:val="pt-PT"/>
        </w:rPr>
        <w:t>7 m. kovo 28</w:t>
      </w:r>
      <w:r w:rsidRPr="00BC6541">
        <w:rPr>
          <w:rFonts w:ascii="Times New Roman" w:hAnsi="Times New Roman" w:cs="Times New Roman"/>
          <w:color w:val="000000"/>
          <w:lang w:val="pt-PT"/>
        </w:rPr>
        <w:t xml:space="preserve"> d.</w:t>
      </w:r>
    </w:p>
    <w:p w:rsidR="00236CDA" w:rsidRDefault="00236CDA" w:rsidP="00B764AA">
      <w:pPr>
        <w:tabs>
          <w:tab w:val="left" w:pos="7260"/>
        </w:tabs>
        <w:jc w:val="center"/>
        <w:rPr>
          <w:rFonts w:ascii="Times New Roman" w:hAnsi="Times New Roman" w:cs="Times New Roman"/>
          <w:b/>
          <w:bCs/>
          <w:sz w:val="24"/>
          <w:szCs w:val="24"/>
        </w:rPr>
      </w:pPr>
      <w:r>
        <w:rPr>
          <w:rFonts w:ascii="Times New Roman" w:hAnsi="Times New Roman" w:cs="Times New Roman"/>
          <w:color w:val="000000"/>
          <w:lang w:val="pt-PT"/>
        </w:rPr>
        <w:t xml:space="preserve">                                                                                                          </w:t>
      </w:r>
      <w:r w:rsidRPr="00BC6541">
        <w:rPr>
          <w:rFonts w:ascii="Times New Roman" w:hAnsi="Times New Roman" w:cs="Times New Roman"/>
          <w:color w:val="000000"/>
          <w:lang w:val="pt-PT"/>
        </w:rPr>
        <w:t>sprendimu Nr. T-</w:t>
      </w:r>
      <w:r>
        <w:rPr>
          <w:rFonts w:ascii="Times New Roman" w:hAnsi="Times New Roman" w:cs="Times New Roman"/>
          <w:color w:val="000000"/>
          <w:lang w:val="pt-PT"/>
        </w:rPr>
        <w:t>41</w:t>
      </w:r>
    </w:p>
    <w:p w:rsidR="00236CDA" w:rsidRDefault="00236CDA" w:rsidP="004E0DB4">
      <w:pPr>
        <w:jc w:val="both"/>
        <w:rPr>
          <w:rFonts w:ascii="Times New Roman" w:hAnsi="Times New Roman" w:cs="Times New Roman"/>
          <w:b/>
          <w:bCs/>
          <w:sz w:val="24"/>
          <w:szCs w:val="24"/>
        </w:rPr>
      </w:pPr>
    </w:p>
    <w:p w:rsidR="00236CDA" w:rsidRDefault="00236CDA" w:rsidP="004E0DB4">
      <w:pPr>
        <w:jc w:val="both"/>
        <w:rPr>
          <w:rFonts w:ascii="Times New Roman" w:hAnsi="Times New Roman" w:cs="Times New Roman"/>
          <w:b/>
          <w:bCs/>
          <w:sz w:val="24"/>
          <w:szCs w:val="24"/>
        </w:rPr>
      </w:pPr>
    </w:p>
    <w:p w:rsidR="00236CDA" w:rsidRPr="002D10A5" w:rsidRDefault="00236CDA" w:rsidP="004E0DB4">
      <w:pPr>
        <w:jc w:val="both"/>
        <w:rPr>
          <w:rFonts w:ascii="Times New Roman" w:hAnsi="Times New Roman" w:cs="Times New Roman"/>
          <w:b/>
          <w:bCs/>
          <w:sz w:val="24"/>
          <w:szCs w:val="24"/>
        </w:rPr>
      </w:pPr>
      <w:r>
        <w:rPr>
          <w:noProof/>
          <w:lang w:eastAsia="lt-LT"/>
        </w:rPr>
        <w:pict>
          <v:shape id="Paveikslėlis 2" o:spid="_x0000_s1027" type="#_x0000_t75" style="position:absolute;left:0;text-align:left;margin-left:151.85pt;margin-top:.7pt;width:317.25pt;height:92.65pt;z-index:-251659264;visibility:visible">
            <v:imagedata r:id="rId9" o:title=""/>
          </v:shape>
        </w:pict>
      </w:r>
      <w:r w:rsidRPr="002D10A5">
        <w:rPr>
          <w:rFonts w:ascii="Times New Roman" w:hAnsi="Times New Roman" w:cs="Times New Roman"/>
          <w:b/>
          <w:bCs/>
          <w:sz w:val="24"/>
          <w:szCs w:val="24"/>
        </w:rPr>
        <w:tab/>
      </w:r>
      <w:r w:rsidRPr="002D10A5">
        <w:rPr>
          <w:rFonts w:ascii="Times New Roman" w:hAnsi="Times New Roman" w:cs="Times New Roman"/>
          <w:b/>
          <w:bCs/>
          <w:sz w:val="24"/>
          <w:szCs w:val="24"/>
        </w:rPr>
        <w:tab/>
      </w:r>
      <w:r w:rsidRPr="002D10A5">
        <w:rPr>
          <w:rFonts w:ascii="Times New Roman" w:hAnsi="Times New Roman" w:cs="Times New Roman"/>
          <w:b/>
          <w:bCs/>
          <w:sz w:val="24"/>
          <w:szCs w:val="24"/>
        </w:rPr>
        <w:tab/>
      </w:r>
      <w:r w:rsidRPr="002D10A5">
        <w:rPr>
          <w:rFonts w:ascii="Times New Roman" w:hAnsi="Times New Roman" w:cs="Times New Roman"/>
          <w:b/>
          <w:bCs/>
          <w:sz w:val="24"/>
          <w:szCs w:val="24"/>
        </w:rPr>
        <w:tab/>
      </w:r>
      <w:r w:rsidRPr="002D10A5">
        <w:rPr>
          <w:rFonts w:ascii="Times New Roman" w:hAnsi="Times New Roman" w:cs="Times New Roman"/>
          <w:b/>
          <w:bCs/>
          <w:sz w:val="24"/>
          <w:szCs w:val="24"/>
        </w:rPr>
        <w:tab/>
      </w:r>
      <w:r w:rsidRPr="002D10A5">
        <w:rPr>
          <w:rFonts w:ascii="Times New Roman" w:hAnsi="Times New Roman" w:cs="Times New Roman"/>
          <w:b/>
          <w:bCs/>
          <w:sz w:val="24"/>
          <w:szCs w:val="24"/>
        </w:rPr>
        <w:tab/>
      </w:r>
    </w:p>
    <w:p w:rsidR="00236CDA" w:rsidRPr="002D10A5" w:rsidRDefault="00236CDA" w:rsidP="004E0DB4">
      <w:pPr>
        <w:ind w:right="140"/>
        <w:jc w:val="both"/>
        <w:rPr>
          <w:rFonts w:ascii="Times New Roman" w:hAnsi="Times New Roman" w:cs="Times New Roman"/>
          <w:sz w:val="24"/>
          <w:szCs w:val="24"/>
        </w:rPr>
      </w:pPr>
    </w:p>
    <w:p w:rsidR="00236CDA" w:rsidRPr="002D10A5" w:rsidRDefault="00236CDA" w:rsidP="004E0DB4">
      <w:pPr>
        <w:jc w:val="both"/>
        <w:rPr>
          <w:rFonts w:ascii="Times New Roman" w:hAnsi="Times New Roman" w:cs="Times New Roman"/>
          <w:sz w:val="24"/>
          <w:szCs w:val="24"/>
        </w:rPr>
      </w:pPr>
    </w:p>
    <w:p w:rsidR="00236CDA" w:rsidRPr="002D10A5" w:rsidRDefault="00236CDA" w:rsidP="004E0DB4">
      <w:pPr>
        <w:jc w:val="center"/>
        <w:rPr>
          <w:rFonts w:ascii="Times New Roman" w:hAnsi="Times New Roman" w:cs="Times New Roman"/>
          <w:sz w:val="36"/>
          <w:szCs w:val="36"/>
        </w:rPr>
      </w:pPr>
    </w:p>
    <w:p w:rsidR="00236CDA" w:rsidRPr="002D10A5" w:rsidRDefault="00236CDA" w:rsidP="004E0DB4">
      <w:pPr>
        <w:jc w:val="center"/>
        <w:rPr>
          <w:rFonts w:ascii="Times New Roman" w:hAnsi="Times New Roman" w:cs="Times New Roman"/>
          <w:sz w:val="36"/>
          <w:szCs w:val="36"/>
        </w:rPr>
      </w:pPr>
    </w:p>
    <w:p w:rsidR="00236CDA" w:rsidRPr="002D10A5" w:rsidRDefault="00236CDA" w:rsidP="004E0DB4">
      <w:pPr>
        <w:jc w:val="center"/>
        <w:rPr>
          <w:rFonts w:ascii="Times New Roman" w:hAnsi="Times New Roman" w:cs="Times New Roman"/>
          <w:sz w:val="36"/>
          <w:szCs w:val="36"/>
        </w:rPr>
      </w:pPr>
    </w:p>
    <w:p w:rsidR="00236CDA" w:rsidRPr="002D10A5" w:rsidRDefault="00236CDA" w:rsidP="004E0DB4">
      <w:pPr>
        <w:jc w:val="center"/>
        <w:rPr>
          <w:rFonts w:ascii="Times New Roman" w:hAnsi="Times New Roman" w:cs="Times New Roman"/>
          <w:sz w:val="36"/>
          <w:szCs w:val="36"/>
        </w:rPr>
      </w:pPr>
    </w:p>
    <w:p w:rsidR="00236CDA" w:rsidRPr="002D10A5" w:rsidRDefault="00236CDA" w:rsidP="004E0DB4">
      <w:pPr>
        <w:jc w:val="center"/>
        <w:rPr>
          <w:rFonts w:ascii="Times New Roman" w:hAnsi="Times New Roman" w:cs="Times New Roman"/>
          <w:b/>
          <w:bCs/>
          <w:sz w:val="28"/>
          <w:szCs w:val="28"/>
        </w:rPr>
      </w:pPr>
      <w:r w:rsidRPr="002D10A5">
        <w:rPr>
          <w:rFonts w:ascii="Times New Roman" w:hAnsi="Times New Roman" w:cs="Times New Roman"/>
          <w:b/>
          <w:bCs/>
          <w:sz w:val="28"/>
          <w:szCs w:val="28"/>
        </w:rPr>
        <w:t>PAGĖGIŲ SAVIVALDYBĖS VISUOMENĖS SVEIKATOS STEBĖSENOS</w:t>
      </w:r>
    </w:p>
    <w:p w:rsidR="00236CDA" w:rsidRPr="002D10A5" w:rsidRDefault="00236CDA" w:rsidP="004E0DB4">
      <w:pPr>
        <w:jc w:val="center"/>
        <w:rPr>
          <w:rFonts w:ascii="Times New Roman" w:hAnsi="Times New Roman" w:cs="Times New Roman"/>
          <w:b/>
          <w:bCs/>
          <w:sz w:val="28"/>
          <w:szCs w:val="28"/>
        </w:rPr>
      </w:pPr>
      <w:r w:rsidRPr="002D10A5">
        <w:rPr>
          <w:rFonts w:ascii="Times New Roman" w:hAnsi="Times New Roman" w:cs="Times New Roman"/>
          <w:b/>
          <w:bCs/>
          <w:sz w:val="28"/>
          <w:szCs w:val="28"/>
        </w:rPr>
        <w:t>2015 METŲ ATASKAITA</w:t>
      </w:r>
    </w:p>
    <w:p w:rsidR="00236CDA" w:rsidRPr="002D10A5" w:rsidRDefault="00236CDA" w:rsidP="004E0DB4">
      <w:pPr>
        <w:jc w:val="center"/>
        <w:rPr>
          <w:rFonts w:ascii="Times New Roman" w:hAnsi="Times New Roman" w:cs="Times New Roman"/>
          <w:b/>
          <w:bCs/>
          <w:sz w:val="24"/>
          <w:szCs w:val="24"/>
        </w:rPr>
      </w:pPr>
    </w:p>
    <w:p w:rsidR="00236CDA" w:rsidRPr="002D10A5" w:rsidRDefault="00236CDA" w:rsidP="004E0DB4">
      <w:pPr>
        <w:jc w:val="center"/>
        <w:rPr>
          <w:rFonts w:ascii="Times New Roman" w:hAnsi="Times New Roman" w:cs="Times New Roman"/>
          <w:sz w:val="36"/>
          <w:szCs w:val="36"/>
        </w:rPr>
      </w:pPr>
    </w:p>
    <w:p w:rsidR="00236CDA" w:rsidRPr="002D10A5" w:rsidRDefault="00236CDA" w:rsidP="004E0DB4">
      <w:pPr>
        <w:jc w:val="center"/>
        <w:rPr>
          <w:rFonts w:ascii="Times New Roman" w:hAnsi="Times New Roman" w:cs="Times New Roman"/>
          <w:sz w:val="36"/>
          <w:szCs w:val="36"/>
        </w:rPr>
      </w:pPr>
    </w:p>
    <w:p w:rsidR="00236CDA" w:rsidRPr="002D10A5" w:rsidRDefault="00236CDA" w:rsidP="004E0DB4">
      <w:pPr>
        <w:jc w:val="center"/>
        <w:rPr>
          <w:rFonts w:ascii="Times New Roman" w:hAnsi="Times New Roman" w:cs="Times New Roman"/>
          <w:sz w:val="36"/>
          <w:szCs w:val="36"/>
        </w:rPr>
      </w:pPr>
    </w:p>
    <w:p w:rsidR="00236CDA" w:rsidRPr="002D10A5" w:rsidRDefault="00236CDA" w:rsidP="004E0DB4">
      <w:pPr>
        <w:jc w:val="center"/>
        <w:rPr>
          <w:rFonts w:ascii="Times New Roman" w:hAnsi="Times New Roman" w:cs="Times New Roman"/>
          <w:sz w:val="36"/>
          <w:szCs w:val="36"/>
        </w:rPr>
      </w:pPr>
    </w:p>
    <w:p w:rsidR="00236CDA" w:rsidRPr="002D10A5" w:rsidRDefault="00236CDA" w:rsidP="004858A7">
      <w:pPr>
        <w:tabs>
          <w:tab w:val="left" w:pos="4005"/>
        </w:tabs>
        <w:rPr>
          <w:rFonts w:ascii="Times New Roman" w:hAnsi="Times New Roman" w:cs="Times New Roman"/>
          <w:sz w:val="36"/>
          <w:szCs w:val="36"/>
        </w:rPr>
      </w:pPr>
      <w:r w:rsidRPr="002D10A5">
        <w:rPr>
          <w:rFonts w:ascii="Times New Roman" w:hAnsi="Times New Roman" w:cs="Times New Roman"/>
          <w:sz w:val="36"/>
          <w:szCs w:val="36"/>
        </w:rPr>
        <w:tab/>
      </w:r>
    </w:p>
    <w:p w:rsidR="00236CDA" w:rsidRDefault="00236CDA" w:rsidP="004E0DB4">
      <w:pPr>
        <w:spacing w:after="0"/>
        <w:rPr>
          <w:rFonts w:ascii="Times New Roman" w:hAnsi="Times New Roman" w:cs="Times New Roman"/>
          <w:sz w:val="24"/>
          <w:szCs w:val="24"/>
        </w:rPr>
      </w:pPr>
    </w:p>
    <w:p w:rsidR="00236CDA" w:rsidRPr="002D10A5" w:rsidRDefault="00236CDA" w:rsidP="004E0DB4">
      <w:pPr>
        <w:spacing w:after="0"/>
        <w:rPr>
          <w:rFonts w:ascii="Times New Roman" w:hAnsi="Times New Roman" w:cs="Times New Roman"/>
          <w:sz w:val="24"/>
          <w:szCs w:val="24"/>
        </w:rPr>
      </w:pPr>
    </w:p>
    <w:p w:rsidR="00236CDA" w:rsidRPr="002D10A5" w:rsidRDefault="00236CDA" w:rsidP="008663F3">
      <w:pPr>
        <w:jc w:val="center"/>
        <w:rPr>
          <w:rFonts w:ascii="Times New Roman" w:hAnsi="Times New Roman" w:cs="Times New Roman"/>
          <w:b/>
          <w:bCs/>
          <w:sz w:val="28"/>
          <w:szCs w:val="28"/>
        </w:rPr>
      </w:pPr>
      <w:r w:rsidRPr="002D10A5">
        <w:rPr>
          <w:rFonts w:ascii="Times New Roman" w:hAnsi="Times New Roman" w:cs="Times New Roman"/>
          <w:b/>
          <w:bCs/>
          <w:sz w:val="24"/>
          <w:szCs w:val="24"/>
        </w:rPr>
        <w:t>2016</w:t>
      </w:r>
      <w:r w:rsidRPr="002D10A5">
        <w:rPr>
          <w:rFonts w:ascii="Times New Roman" w:hAnsi="Times New Roman" w:cs="Times New Roman"/>
          <w:b/>
          <w:bCs/>
          <w:sz w:val="28"/>
          <w:szCs w:val="28"/>
        </w:rPr>
        <w:br w:type="page"/>
        <w:t>TURINYS</w:t>
      </w:r>
    </w:p>
    <w:p w:rsidR="00236CDA" w:rsidRPr="002D10A5" w:rsidRDefault="00236CDA" w:rsidP="008663F3">
      <w:pPr>
        <w:jc w:val="center"/>
        <w:rPr>
          <w:rFonts w:ascii="Times New Roman" w:hAnsi="Times New Roman" w:cs="Times New Roman"/>
          <w:b/>
          <w:bCs/>
          <w:sz w:val="28"/>
          <w:szCs w:val="28"/>
        </w:rPr>
      </w:pPr>
    </w:p>
    <w:p w:rsidR="00236CDA" w:rsidRPr="002D10A5" w:rsidRDefault="00236CDA" w:rsidP="00400B04">
      <w:pPr>
        <w:spacing w:after="0"/>
        <w:rPr>
          <w:rFonts w:ascii="Times New Roman" w:hAnsi="Times New Roman" w:cs="Times New Roman"/>
          <w:sz w:val="24"/>
          <w:szCs w:val="24"/>
        </w:rPr>
      </w:pPr>
      <w:r w:rsidRPr="002D10A5">
        <w:rPr>
          <w:rFonts w:ascii="Times New Roman" w:hAnsi="Times New Roman" w:cs="Times New Roman"/>
          <w:sz w:val="24"/>
          <w:szCs w:val="24"/>
        </w:rPr>
        <w:t>ĮVADAS.................................................</w:t>
      </w:r>
      <w:r>
        <w:rPr>
          <w:rFonts w:ascii="Times New Roman" w:hAnsi="Times New Roman" w:cs="Times New Roman"/>
          <w:sz w:val="24"/>
          <w:szCs w:val="24"/>
        </w:rPr>
        <w:t>............................</w:t>
      </w:r>
      <w:r w:rsidRPr="002D10A5">
        <w:rPr>
          <w:rFonts w:ascii="Times New Roman" w:hAnsi="Times New Roman" w:cs="Times New Roman"/>
          <w:sz w:val="24"/>
          <w:szCs w:val="24"/>
        </w:rPr>
        <w:t>........................................................................2</w:t>
      </w:r>
    </w:p>
    <w:p w:rsidR="00236CDA" w:rsidRPr="002D10A5" w:rsidRDefault="00236CDA" w:rsidP="00400B04">
      <w:pPr>
        <w:spacing w:after="0"/>
        <w:rPr>
          <w:rFonts w:ascii="Times New Roman" w:hAnsi="Times New Roman" w:cs="Times New Roman"/>
          <w:sz w:val="24"/>
          <w:szCs w:val="24"/>
        </w:rPr>
      </w:pPr>
      <w:r w:rsidRPr="002D10A5">
        <w:rPr>
          <w:rFonts w:ascii="Times New Roman" w:hAnsi="Times New Roman" w:cs="Times New Roman"/>
          <w:sz w:val="24"/>
          <w:szCs w:val="24"/>
        </w:rPr>
        <w:t>1. BENDROJI DALIS............................................</w:t>
      </w:r>
      <w:r>
        <w:rPr>
          <w:rFonts w:ascii="Times New Roman" w:hAnsi="Times New Roman" w:cs="Times New Roman"/>
          <w:sz w:val="24"/>
          <w:szCs w:val="24"/>
        </w:rPr>
        <w:t>...........................</w:t>
      </w:r>
      <w:r w:rsidRPr="002D10A5">
        <w:rPr>
          <w:rFonts w:ascii="Times New Roman" w:hAnsi="Times New Roman" w:cs="Times New Roman"/>
          <w:sz w:val="24"/>
          <w:szCs w:val="24"/>
        </w:rPr>
        <w:t>........................................................3</w:t>
      </w:r>
    </w:p>
    <w:p w:rsidR="00236CDA" w:rsidRPr="002D10A5" w:rsidRDefault="00236CDA" w:rsidP="00400B04">
      <w:pPr>
        <w:spacing w:after="0"/>
        <w:rPr>
          <w:rFonts w:ascii="Times New Roman" w:hAnsi="Times New Roman" w:cs="Times New Roman"/>
          <w:sz w:val="24"/>
          <w:szCs w:val="24"/>
        </w:rPr>
      </w:pPr>
      <w:r w:rsidRPr="002D10A5">
        <w:rPr>
          <w:rFonts w:ascii="Times New Roman" w:hAnsi="Times New Roman" w:cs="Times New Roman"/>
          <w:sz w:val="24"/>
          <w:szCs w:val="24"/>
        </w:rPr>
        <w:t>1.1. PAGRINDINIŲ STEBĖSENOS RODIKLIŲ PAGĖGIŲ  SAVIVALDYBĖJE ANALIZĖ IR INTERPRETAVIMAS („ŠVIESOFORAS“).....</w:t>
      </w:r>
      <w:r>
        <w:rPr>
          <w:rFonts w:ascii="Times New Roman" w:hAnsi="Times New Roman" w:cs="Times New Roman"/>
          <w:sz w:val="24"/>
          <w:szCs w:val="24"/>
        </w:rPr>
        <w:t>..........................</w:t>
      </w:r>
      <w:r w:rsidRPr="002D10A5">
        <w:rPr>
          <w:rFonts w:ascii="Times New Roman" w:hAnsi="Times New Roman" w:cs="Times New Roman"/>
          <w:sz w:val="24"/>
          <w:szCs w:val="24"/>
        </w:rPr>
        <w:t>............................................................3</w:t>
      </w:r>
    </w:p>
    <w:p w:rsidR="00236CDA" w:rsidRPr="002D10A5" w:rsidRDefault="00236CDA" w:rsidP="00400B04">
      <w:pPr>
        <w:spacing w:after="0"/>
        <w:rPr>
          <w:rFonts w:ascii="Times New Roman" w:hAnsi="Times New Roman" w:cs="Times New Roman"/>
          <w:sz w:val="24"/>
          <w:szCs w:val="24"/>
        </w:rPr>
      </w:pPr>
      <w:r w:rsidRPr="002D10A5">
        <w:rPr>
          <w:rFonts w:ascii="Times New Roman" w:hAnsi="Times New Roman" w:cs="Times New Roman"/>
          <w:sz w:val="24"/>
          <w:szCs w:val="24"/>
        </w:rPr>
        <w:t>2.SPECIALIOJI DALIS.........</w:t>
      </w:r>
      <w:r>
        <w:rPr>
          <w:rFonts w:ascii="Times New Roman" w:hAnsi="Times New Roman" w:cs="Times New Roman"/>
          <w:sz w:val="24"/>
          <w:szCs w:val="24"/>
        </w:rPr>
        <w:t>............................</w:t>
      </w:r>
      <w:r w:rsidRPr="002D10A5">
        <w:rPr>
          <w:rFonts w:ascii="Times New Roman" w:hAnsi="Times New Roman" w:cs="Times New Roman"/>
          <w:sz w:val="24"/>
          <w:szCs w:val="24"/>
        </w:rPr>
        <w:t>......................................................................................11</w:t>
      </w:r>
    </w:p>
    <w:p w:rsidR="00236CDA" w:rsidRPr="002D10A5" w:rsidRDefault="00236CDA" w:rsidP="00400B04">
      <w:pPr>
        <w:spacing w:after="0"/>
        <w:rPr>
          <w:rFonts w:ascii="Times New Roman" w:hAnsi="Times New Roman" w:cs="Times New Roman"/>
          <w:sz w:val="24"/>
          <w:szCs w:val="24"/>
        </w:rPr>
      </w:pPr>
      <w:r w:rsidRPr="002D10A5">
        <w:rPr>
          <w:rFonts w:ascii="Times New Roman" w:hAnsi="Times New Roman" w:cs="Times New Roman"/>
          <w:sz w:val="24"/>
          <w:szCs w:val="24"/>
        </w:rPr>
        <w:t>2.1. PAGĖGIŲ SAVIVALDYBĖS PRIORITETINIŲ PROBLEMŲ A</w:t>
      </w:r>
      <w:r>
        <w:rPr>
          <w:rFonts w:ascii="Times New Roman" w:hAnsi="Times New Roman" w:cs="Times New Roman"/>
          <w:sz w:val="24"/>
          <w:szCs w:val="24"/>
        </w:rPr>
        <w:t>NALIZĖ.....................</w:t>
      </w:r>
      <w:r w:rsidRPr="002D10A5">
        <w:rPr>
          <w:rFonts w:ascii="Times New Roman" w:hAnsi="Times New Roman" w:cs="Times New Roman"/>
          <w:sz w:val="24"/>
          <w:szCs w:val="24"/>
        </w:rPr>
        <w:t>.............11</w:t>
      </w:r>
    </w:p>
    <w:p w:rsidR="00236CDA" w:rsidRPr="002D10A5" w:rsidRDefault="00236CDA" w:rsidP="00400B04">
      <w:pPr>
        <w:spacing w:after="0"/>
        <w:rPr>
          <w:rFonts w:ascii="Times New Roman" w:hAnsi="Times New Roman" w:cs="Times New Roman"/>
          <w:sz w:val="24"/>
          <w:szCs w:val="24"/>
        </w:rPr>
      </w:pPr>
      <w:r w:rsidRPr="002D10A5">
        <w:rPr>
          <w:rFonts w:ascii="Times New Roman" w:hAnsi="Times New Roman" w:cs="Times New Roman"/>
          <w:sz w:val="24"/>
          <w:szCs w:val="24"/>
        </w:rPr>
        <w:t>2.1.1. SERGAMUMAS TUBERKULIOZE.......................................</w:t>
      </w:r>
      <w:r>
        <w:rPr>
          <w:rFonts w:ascii="Times New Roman" w:hAnsi="Times New Roman" w:cs="Times New Roman"/>
          <w:sz w:val="24"/>
          <w:szCs w:val="24"/>
        </w:rPr>
        <w:t>...........................</w:t>
      </w:r>
      <w:r w:rsidRPr="002D10A5">
        <w:rPr>
          <w:rFonts w:ascii="Times New Roman" w:hAnsi="Times New Roman" w:cs="Times New Roman"/>
          <w:sz w:val="24"/>
          <w:szCs w:val="24"/>
        </w:rPr>
        <w:t>..........................11</w:t>
      </w:r>
    </w:p>
    <w:p w:rsidR="00236CDA" w:rsidRPr="002D10A5" w:rsidRDefault="00236CDA" w:rsidP="00400B04">
      <w:pPr>
        <w:spacing w:after="0"/>
        <w:rPr>
          <w:rFonts w:ascii="Times New Roman" w:hAnsi="Times New Roman" w:cs="Times New Roman"/>
          <w:sz w:val="24"/>
          <w:szCs w:val="24"/>
        </w:rPr>
      </w:pPr>
      <w:r w:rsidRPr="002D10A5">
        <w:rPr>
          <w:rFonts w:ascii="Times New Roman" w:hAnsi="Times New Roman" w:cs="Times New Roman"/>
          <w:sz w:val="24"/>
          <w:szCs w:val="24"/>
        </w:rPr>
        <w:t xml:space="preserve">2.1.2. </w:t>
      </w:r>
      <w:r>
        <w:rPr>
          <w:rFonts w:ascii="Times New Roman" w:hAnsi="Times New Roman" w:cs="Times New Roman"/>
          <w:sz w:val="24"/>
          <w:szCs w:val="24"/>
        </w:rPr>
        <w:t>IŠVENGIAMAS MIRTINGUMAS...................................................................</w:t>
      </w:r>
      <w:r w:rsidRPr="002D10A5">
        <w:rPr>
          <w:rFonts w:ascii="Times New Roman" w:hAnsi="Times New Roman" w:cs="Times New Roman"/>
          <w:sz w:val="24"/>
          <w:szCs w:val="24"/>
        </w:rPr>
        <w:t>...........................</w:t>
      </w:r>
      <w:r>
        <w:rPr>
          <w:rFonts w:ascii="Times New Roman" w:hAnsi="Times New Roman" w:cs="Times New Roman"/>
          <w:sz w:val="24"/>
          <w:szCs w:val="24"/>
        </w:rPr>
        <w:t>13</w:t>
      </w:r>
    </w:p>
    <w:p w:rsidR="00236CDA" w:rsidRPr="002D10A5" w:rsidRDefault="00236CDA" w:rsidP="00400B04">
      <w:pPr>
        <w:spacing w:after="0"/>
        <w:rPr>
          <w:rFonts w:ascii="Times New Roman" w:hAnsi="Times New Roman" w:cs="Times New Roman"/>
          <w:sz w:val="24"/>
          <w:szCs w:val="24"/>
        </w:rPr>
      </w:pPr>
      <w:r w:rsidRPr="002D10A5">
        <w:rPr>
          <w:rFonts w:ascii="Times New Roman" w:hAnsi="Times New Roman" w:cs="Times New Roman"/>
          <w:sz w:val="24"/>
          <w:szCs w:val="24"/>
        </w:rPr>
        <w:t>2.1.3.</w:t>
      </w:r>
      <w:r>
        <w:rPr>
          <w:rFonts w:ascii="Times New Roman" w:hAnsi="Times New Roman" w:cs="Times New Roman"/>
          <w:sz w:val="24"/>
          <w:szCs w:val="24"/>
        </w:rPr>
        <w:t xml:space="preserve"> </w:t>
      </w:r>
      <w:r w:rsidRPr="002D10A5">
        <w:rPr>
          <w:rFonts w:ascii="Times New Roman" w:hAnsi="Times New Roman" w:cs="Times New Roman"/>
          <w:sz w:val="24"/>
          <w:szCs w:val="24"/>
        </w:rPr>
        <w:t>MIRTINGUMAS/ STANDARTIZUOTAS MIRTINGUMAS NUO PIKTYBINIŲ NAVIKŲ</w:t>
      </w:r>
      <w:r>
        <w:rPr>
          <w:rFonts w:ascii="Times New Roman" w:hAnsi="Times New Roman" w:cs="Times New Roman"/>
          <w:sz w:val="24"/>
          <w:szCs w:val="24"/>
        </w:rPr>
        <w:t>......</w:t>
      </w:r>
      <w:r w:rsidRPr="002D10A5">
        <w:rPr>
          <w:rFonts w:ascii="Times New Roman" w:hAnsi="Times New Roman" w:cs="Times New Roman"/>
          <w:sz w:val="24"/>
          <w:szCs w:val="24"/>
        </w:rPr>
        <w:t>.</w:t>
      </w:r>
      <w:r>
        <w:rPr>
          <w:rFonts w:ascii="Times New Roman" w:hAnsi="Times New Roman" w:cs="Times New Roman"/>
          <w:sz w:val="24"/>
          <w:szCs w:val="24"/>
        </w:rPr>
        <w:t>14</w:t>
      </w:r>
    </w:p>
    <w:p w:rsidR="00236CDA" w:rsidRPr="002D10A5" w:rsidRDefault="00236CDA" w:rsidP="00400B04">
      <w:pPr>
        <w:spacing w:after="0"/>
        <w:rPr>
          <w:rFonts w:ascii="Times New Roman" w:hAnsi="Times New Roman" w:cs="Times New Roman"/>
          <w:sz w:val="24"/>
          <w:szCs w:val="24"/>
        </w:rPr>
      </w:pPr>
      <w:r w:rsidRPr="002D10A5">
        <w:rPr>
          <w:rFonts w:ascii="Times New Roman" w:hAnsi="Times New Roman" w:cs="Times New Roman"/>
          <w:sz w:val="24"/>
          <w:szCs w:val="24"/>
        </w:rPr>
        <w:t>3. APIBENDRINIMAS IR REKOMENDAC</w:t>
      </w:r>
      <w:r>
        <w:rPr>
          <w:rFonts w:ascii="Times New Roman" w:hAnsi="Times New Roman" w:cs="Times New Roman"/>
          <w:sz w:val="24"/>
          <w:szCs w:val="24"/>
        </w:rPr>
        <w:t>IJOS......................</w:t>
      </w:r>
      <w:r w:rsidRPr="002D10A5">
        <w:rPr>
          <w:rFonts w:ascii="Times New Roman" w:hAnsi="Times New Roman" w:cs="Times New Roman"/>
          <w:sz w:val="24"/>
          <w:szCs w:val="24"/>
        </w:rPr>
        <w:t>..........................................................</w:t>
      </w:r>
      <w:r>
        <w:rPr>
          <w:rFonts w:ascii="Times New Roman" w:hAnsi="Times New Roman" w:cs="Times New Roman"/>
          <w:sz w:val="24"/>
          <w:szCs w:val="24"/>
        </w:rPr>
        <w:t>17</w:t>
      </w:r>
    </w:p>
    <w:p w:rsidR="00236CDA" w:rsidRPr="002D10A5" w:rsidRDefault="00236CDA" w:rsidP="00142773">
      <w:pPr>
        <w:jc w:val="center"/>
        <w:rPr>
          <w:rFonts w:ascii="Times New Roman" w:hAnsi="Times New Roman" w:cs="Times New Roman"/>
          <w:b/>
          <w:bCs/>
          <w:sz w:val="28"/>
          <w:szCs w:val="28"/>
        </w:rPr>
      </w:pPr>
      <w:r w:rsidRPr="002D10A5">
        <w:rPr>
          <w:rFonts w:ascii="Times New Roman" w:hAnsi="Times New Roman" w:cs="Times New Roman"/>
          <w:b/>
          <w:bCs/>
          <w:sz w:val="28"/>
          <w:szCs w:val="28"/>
        </w:rPr>
        <w:br w:type="page"/>
        <w:t>ĮVADAS</w:t>
      </w:r>
    </w:p>
    <w:p w:rsidR="00236CDA" w:rsidRPr="002D10A5" w:rsidRDefault="00236CDA" w:rsidP="00341B5F">
      <w:pPr>
        <w:spacing w:after="0"/>
        <w:ind w:firstLine="1134"/>
        <w:jc w:val="both"/>
        <w:rPr>
          <w:rFonts w:ascii="Times New Roman" w:hAnsi="Times New Roman" w:cs="Times New Roman"/>
          <w:sz w:val="24"/>
          <w:szCs w:val="24"/>
        </w:rPr>
      </w:pPr>
    </w:p>
    <w:p w:rsidR="00236CDA" w:rsidRPr="002D10A5" w:rsidRDefault="00236CDA" w:rsidP="00341B5F">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 xml:space="preserve"> </w:t>
      </w:r>
    </w:p>
    <w:p w:rsidR="00236CDA" w:rsidRPr="002D10A5" w:rsidRDefault="00236CDA" w:rsidP="00341B5F">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Visuomenės sveikatos stebėsena – tai tęstinis, sistemingai atliekamas su sveikata susijusių ir planuoti, įgyvendinti bei visuomenės sveikatos praktikai vertinti reikalingų duomenų rinkimas, analizė ir interpretavimas (Pasaulio sveikatos organizacija, toliau – PSO). Pagrindinis atliekamos stebėsenos produktas/rezultatas – tai informacija veiksmams/intervencijoms atlikti.</w:t>
      </w:r>
    </w:p>
    <w:p w:rsidR="00236CDA" w:rsidRPr="002D10A5" w:rsidRDefault="00236CDA" w:rsidP="00581760">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Visuomenės sveikatos stebėsenos Pagėgių savivaldybėje tikslas – nuolat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taip pat vykdyti visuomenės sveikatos stebėsenos duomenų sklaidą bei tinkamai informuoti Savivaldybės politikus siekiant efektyvaus valstybinių (valstybės perduotų savivaldybėms) bei savarankiškų visuomenės sveikatos priežiūros funkcijų įgyvendinimo Savivaldybės teritorijoje.</w:t>
      </w:r>
    </w:p>
    <w:p w:rsidR="00236CDA" w:rsidRPr="002D10A5" w:rsidRDefault="00236CDA" w:rsidP="00581760">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Visuomenės sveikatos stebėsena savivaldybėse vykdoma remiantis Lietuvos Respublikos sveikatos apsaugos ministro įsakymu „Dėl Lietuvos Respublikos sveikatos apsaugos ministro 2003 m. rugpjūčio 11 d. įsakymo Nr. V-488 „Dėl Bendrųjų savivaldybių visuomenės sveikatos stebėsenos nuostatų patvirtinimo“ pakeitimo“.</w:t>
      </w:r>
    </w:p>
    <w:p w:rsidR="00236CDA" w:rsidRPr="002D10A5" w:rsidRDefault="00236CDA" w:rsidP="00581760">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Pagrindinis visuomenės sveikatos stebėsenos savivaldybėje dokumentas – Lietuvos sveikatos 2014–2025 metų programa, kurios strateginis tikslas – pasiekti, kad 2025 m. šalies gyventojai būtų sveikesni ir gyventų ilgiau, pagerėtų gyventojų sveikata ir sumažėtų sveikatos netolygumai. Programoje nurodyti 4 tikslai: sukurti saugesnę socialinę aplinką, mažinti sveikatos netolygumus ir socialinę atskirtį; sukurti sveikatai palankią fizinę darbo ir gyvenamąją aplinką; formuoti sveiką gyvenseną ir jos kultūrą; užtikrinti kokybišką ir efektyvią sveikatos priežiūrą, orientuotą į gyventojų poreikius. Programos uždaviniai – sumažinti skurdo lygį ir nedarbą, sumažinti socialinę ekonominę gyventojų diferenciaciją šalies ir bendruomenių lygmeniu, sumažinti alkoholinių gėrimų ir tabako vartojimą, neteisėtą narkotinių ir psichotropinių medžiagų vartojimą ir prieinamumą, skatinti sveikos mitybos įpročius, ugdyti optimalaus fizinio aktyvumo įpročius, gerinti motinos ir vaiko sveikatą, mažinti oro, vandens ir dirvožemio užterštumą ir kt.</w:t>
      </w:r>
    </w:p>
    <w:p w:rsidR="00236CDA" w:rsidRPr="002D10A5" w:rsidRDefault="00236CDA" w:rsidP="00341B5F">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 xml:space="preserve">Visuomenės sveikatos stebėsenos ataskaitoje pateikiami ir aprašomi 2015 m. visuomenės sveikatos būklę atspindintys duomenys Pagėgių savivaldybėje. Pateikiami rodikliai (iš Valstybės deleguotų savivaldybėms visuomenės sveikatos stebėsenos pagrindinių rodiklių sąrašo) yra siejami su Lietuvos sveikatos programos (toliau – LSP) tikslų bei jų uždavinių įgyvendinimu. LSP iškeltų tikslų ir uždavinių įgyvendinimo savivaldybėse stebėsenai parengtas baigtinis pagrindinių rodiklių sąrašas (toliau – PRS), kurį sudaro 51 unifikuotas rodiklis, geriausiai apibūdinantis LSP siekinius. </w:t>
      </w:r>
    </w:p>
    <w:p w:rsidR="00236CDA" w:rsidRPr="002D10A5" w:rsidRDefault="00236CDA" w:rsidP="00341B5F">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Ataskaita parengta naudojant</w:t>
      </w:r>
      <w:r>
        <w:rPr>
          <w:rFonts w:ascii="Times New Roman" w:hAnsi="Times New Roman" w:cs="Times New Roman"/>
          <w:sz w:val="24"/>
          <w:szCs w:val="24"/>
        </w:rPr>
        <w:t>is</w:t>
      </w:r>
      <w:r w:rsidRPr="002D10A5">
        <w:rPr>
          <w:rFonts w:ascii="Times New Roman" w:hAnsi="Times New Roman" w:cs="Times New Roman"/>
          <w:sz w:val="24"/>
          <w:szCs w:val="24"/>
        </w:rPr>
        <w:t xml:space="preserve"> Higienos instituto Sveikatos informacijos centro informacin</w:t>
      </w:r>
      <w:r>
        <w:rPr>
          <w:rFonts w:ascii="Times New Roman" w:hAnsi="Times New Roman" w:cs="Times New Roman"/>
          <w:sz w:val="24"/>
          <w:szCs w:val="24"/>
        </w:rPr>
        <w:t>e</w:t>
      </w:r>
      <w:r w:rsidRPr="002D10A5">
        <w:rPr>
          <w:rFonts w:ascii="Times New Roman" w:hAnsi="Times New Roman" w:cs="Times New Roman"/>
          <w:sz w:val="24"/>
          <w:szCs w:val="24"/>
        </w:rPr>
        <w:t xml:space="preserve"> sistem</w:t>
      </w:r>
      <w:r>
        <w:rPr>
          <w:rFonts w:ascii="Times New Roman" w:hAnsi="Times New Roman" w:cs="Times New Roman"/>
          <w:sz w:val="24"/>
          <w:szCs w:val="24"/>
        </w:rPr>
        <w:t>a</w:t>
      </w:r>
      <w:r w:rsidRPr="002D10A5">
        <w:rPr>
          <w:rFonts w:ascii="Times New Roman" w:hAnsi="Times New Roman" w:cs="Times New Roman"/>
          <w:sz w:val="24"/>
          <w:szCs w:val="24"/>
        </w:rPr>
        <w:t xml:space="preserve"> (toliau–HISIC), HISIC parengtu leidiniu „Visuomenės sveikatos būklė Lietuvos savivaldybėse 2015 m.“, Lietuvos statistikos departamento oficialiosios statistikos portalo informacija, Pasaulio sveikatos organizacijos Europos regioninio biuro duomenų baze „Sveikata visiems (HFA)“. </w:t>
      </w:r>
      <w:r w:rsidRPr="002D10A5">
        <w:rPr>
          <w:rFonts w:ascii="Times New Roman" w:hAnsi="Times New Roman" w:cs="Times New Roman"/>
          <w:sz w:val="24"/>
          <w:szCs w:val="24"/>
        </w:rPr>
        <w:br w:type="page"/>
      </w:r>
    </w:p>
    <w:p w:rsidR="00236CDA" w:rsidRPr="002D10A5" w:rsidRDefault="00236CDA" w:rsidP="008663F3">
      <w:pPr>
        <w:pStyle w:val="ListParagraph"/>
        <w:numPr>
          <w:ilvl w:val="0"/>
          <w:numId w:val="10"/>
        </w:numPr>
        <w:spacing w:after="0" w:line="360" w:lineRule="auto"/>
        <w:ind w:left="357" w:hanging="357"/>
        <w:jc w:val="center"/>
        <w:rPr>
          <w:rFonts w:ascii="Times New Roman" w:hAnsi="Times New Roman" w:cs="Times New Roman"/>
          <w:b/>
          <w:bCs/>
          <w:sz w:val="28"/>
          <w:szCs w:val="28"/>
        </w:rPr>
      </w:pPr>
      <w:r w:rsidRPr="002D10A5">
        <w:rPr>
          <w:rFonts w:ascii="Times New Roman" w:hAnsi="Times New Roman" w:cs="Times New Roman"/>
          <w:b/>
          <w:bCs/>
          <w:sz w:val="28"/>
          <w:szCs w:val="28"/>
        </w:rPr>
        <w:t>BENDROJI DALIS</w:t>
      </w:r>
      <w:r w:rsidRPr="002D10A5">
        <w:rPr>
          <w:rFonts w:ascii="Times New Roman" w:hAnsi="Times New Roman" w:cs="Times New Roman"/>
          <w:b/>
          <w:bCs/>
          <w:sz w:val="28"/>
          <w:szCs w:val="28"/>
        </w:rPr>
        <w:br/>
      </w:r>
      <w:r w:rsidRPr="002D10A5">
        <w:rPr>
          <w:rFonts w:ascii="Times New Roman" w:hAnsi="Times New Roman" w:cs="Times New Roman"/>
          <w:b/>
          <w:bCs/>
          <w:sz w:val="24"/>
          <w:szCs w:val="24"/>
        </w:rPr>
        <w:t>1.1. PAGRINDINIŲ STEBĖSENOS RODIKLIŲ PAGĖGIŲ  SAVIVALDYBĖJE ANALIZĖ IR INTERPRETAVIMAS („ŠVIESOFORAS“)</w:t>
      </w:r>
    </w:p>
    <w:p w:rsidR="00236CDA" w:rsidRPr="002D10A5" w:rsidRDefault="00236CD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Lietuvos sveikatos rodiklių informacinės sistemos duomenimis 2015 m. Pagėgių savivaldybėje vidutinis metinis gyventojų skaičius siekė 8 563. Vyrų dalis sudarė 47,4 proc., moterų – 52,6 proc. 0-17 metų amžiaus gyventojų dalis sudarė 19,74 proc., 18-44 m. amžiaus – 32,44 proc., 45-64 m.</w:t>
      </w:r>
      <w:r>
        <w:rPr>
          <w:rFonts w:ascii="Times New Roman" w:hAnsi="Times New Roman" w:cs="Times New Roman"/>
          <w:sz w:val="24"/>
          <w:szCs w:val="24"/>
        </w:rPr>
        <w:t>−</w:t>
      </w:r>
      <w:r w:rsidRPr="002D10A5">
        <w:rPr>
          <w:rFonts w:ascii="Times New Roman" w:hAnsi="Times New Roman" w:cs="Times New Roman"/>
          <w:sz w:val="24"/>
          <w:szCs w:val="24"/>
        </w:rPr>
        <w:t xml:space="preserve"> 28,82 proc., o vyresnių kaip 65 m. gyventojų dalis siekė 18,08 proc. Mieste gyveno 24,13 proc., o kaime 75,87 proc. savivaldybės gyventojų. 2015 m. gimė 107 kūdikiai, mirė 132 gyventojai.</w:t>
      </w:r>
    </w:p>
    <w:p w:rsidR="00236CDA" w:rsidRPr="002D10A5" w:rsidRDefault="00236CD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Pagrindinio rodiklių sąrašo analizė ir interpretavimas („šviesoforo“ kūrimas) atliekamas siekiant palyginti 2015 m. Pagėgių savivaldybės rodiklius su Lietuvos vidurkiu. Vadovaujantis „šviesoforo“ principu, rodiklių reikšmės suskirstytos į 3 </w:t>
      </w:r>
      <w:r>
        <w:rPr>
          <w:rFonts w:ascii="Times New Roman" w:hAnsi="Times New Roman" w:cs="Times New Roman"/>
          <w:sz w:val="24"/>
          <w:szCs w:val="24"/>
        </w:rPr>
        <w:t>grupes</w:t>
      </w:r>
      <w:r w:rsidRPr="002D10A5">
        <w:rPr>
          <w:rFonts w:ascii="Times New Roman" w:hAnsi="Times New Roman" w:cs="Times New Roman"/>
          <w:sz w:val="24"/>
          <w:szCs w:val="24"/>
        </w:rPr>
        <w:t>:</w:t>
      </w:r>
    </w:p>
    <w:p w:rsidR="00236CDA" w:rsidRPr="002D10A5" w:rsidRDefault="00236CDA" w:rsidP="008663F3">
      <w:pPr>
        <w:pStyle w:val="ListParagraph"/>
        <w:numPr>
          <w:ilvl w:val="0"/>
          <w:numId w:val="1"/>
        </w:numPr>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  Savivaldybės, kuriose stebimas rodiklis atspindi geriausią situaciją, priskiriamos </w:t>
      </w:r>
      <w:r w:rsidRPr="002D10A5">
        <w:rPr>
          <w:rFonts w:ascii="Times New Roman" w:hAnsi="Times New Roman" w:cs="Times New Roman"/>
          <w:i/>
          <w:iCs/>
          <w:sz w:val="24"/>
          <w:szCs w:val="24"/>
        </w:rPr>
        <w:t>Savivaldybių su geriausiais rodikliais grupei</w:t>
      </w:r>
      <w:r w:rsidRPr="002D10A5">
        <w:rPr>
          <w:rFonts w:ascii="Times New Roman" w:hAnsi="Times New Roman" w:cs="Times New Roman"/>
          <w:sz w:val="24"/>
          <w:szCs w:val="24"/>
        </w:rPr>
        <w:t xml:space="preserve"> ir žymimos </w:t>
      </w:r>
      <w:r w:rsidRPr="002D10A5">
        <w:rPr>
          <w:rFonts w:ascii="Times New Roman" w:hAnsi="Times New Roman" w:cs="Times New Roman"/>
          <w:b/>
          <w:bCs/>
          <w:sz w:val="24"/>
          <w:szCs w:val="24"/>
          <w:highlight w:val="green"/>
        </w:rPr>
        <w:t>žalia spalva</w:t>
      </w:r>
      <w:r w:rsidRPr="002D10A5">
        <w:rPr>
          <w:rFonts w:ascii="Times New Roman" w:hAnsi="Times New Roman" w:cs="Times New Roman"/>
          <w:sz w:val="24"/>
          <w:szCs w:val="24"/>
        </w:rPr>
        <w:t>.</w:t>
      </w:r>
    </w:p>
    <w:p w:rsidR="00236CDA" w:rsidRPr="002D10A5" w:rsidRDefault="00236CDA" w:rsidP="008663F3">
      <w:pPr>
        <w:pStyle w:val="ListParagraph"/>
        <w:numPr>
          <w:ilvl w:val="0"/>
          <w:numId w:val="1"/>
        </w:numPr>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 Savivaldybės, kuriose stebimas rodiklis rodo prasčiausią situaciją, priskiriamos </w:t>
      </w:r>
      <w:r w:rsidRPr="002D10A5">
        <w:rPr>
          <w:rFonts w:ascii="Times New Roman" w:hAnsi="Times New Roman" w:cs="Times New Roman"/>
          <w:i/>
          <w:iCs/>
          <w:sz w:val="24"/>
          <w:szCs w:val="24"/>
        </w:rPr>
        <w:t>Savivaldybių su prasčiausiais rodikliais grupei</w:t>
      </w:r>
      <w:r w:rsidRPr="002D10A5">
        <w:rPr>
          <w:rFonts w:ascii="Times New Roman" w:hAnsi="Times New Roman" w:cs="Times New Roman"/>
          <w:sz w:val="24"/>
          <w:szCs w:val="24"/>
        </w:rPr>
        <w:t xml:space="preserve"> ir žymimos </w:t>
      </w:r>
      <w:r w:rsidRPr="002D10A5">
        <w:rPr>
          <w:rFonts w:ascii="Times New Roman" w:hAnsi="Times New Roman" w:cs="Times New Roman"/>
          <w:b/>
          <w:bCs/>
          <w:sz w:val="24"/>
          <w:szCs w:val="24"/>
          <w:highlight w:val="red"/>
        </w:rPr>
        <w:t>raudona spalva</w:t>
      </w:r>
      <w:r w:rsidRPr="002D10A5">
        <w:rPr>
          <w:rFonts w:ascii="Times New Roman" w:hAnsi="Times New Roman" w:cs="Times New Roman"/>
          <w:sz w:val="24"/>
          <w:szCs w:val="24"/>
        </w:rPr>
        <w:t>.</w:t>
      </w:r>
    </w:p>
    <w:p w:rsidR="00236CDA" w:rsidRPr="002D10A5" w:rsidRDefault="00236CDA" w:rsidP="008663F3">
      <w:pPr>
        <w:pStyle w:val="ListParagraph"/>
        <w:numPr>
          <w:ilvl w:val="0"/>
          <w:numId w:val="1"/>
        </w:numPr>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  Likusių savivaldybių rodiklio reikšmės žymimos </w:t>
      </w:r>
      <w:r w:rsidRPr="002D10A5">
        <w:rPr>
          <w:rFonts w:ascii="Times New Roman" w:hAnsi="Times New Roman" w:cs="Times New Roman"/>
          <w:b/>
          <w:bCs/>
          <w:sz w:val="24"/>
          <w:szCs w:val="24"/>
          <w:highlight w:val="yellow"/>
        </w:rPr>
        <w:t>geltona spalva</w:t>
      </w:r>
      <w:r w:rsidRPr="002D10A5">
        <w:rPr>
          <w:rFonts w:ascii="Times New Roman" w:hAnsi="Times New Roman" w:cs="Times New Roman"/>
          <w:sz w:val="24"/>
          <w:szCs w:val="24"/>
        </w:rPr>
        <w:t>. Šių savivaldybių rodikliai interpretuojami kaip atitinkantys Lietuvos vidurkį.</w:t>
      </w:r>
    </w:p>
    <w:p w:rsidR="00236CDA" w:rsidRPr="002D10A5" w:rsidRDefault="00236CD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Pagrindinių rodiklių sąrašo (toliau – PRS) analizės ir interpretavimo tikslas – įvertinti, kokia esama gyventojų sveikatos ir sveikatą lemiančių veiksnių situacija savivaldybėje, įvertinant Lietuvos sveikatos programos tikslų ir uždavinių įgyvendinimo kontekste, ir kokių intervencijų/priemonių reikia imtis, siekiant stiprinti savivaldybės gyventojų sveikatą ir mažinti sveikatos netolygumus.</w:t>
      </w:r>
    </w:p>
    <w:p w:rsidR="00236CDA" w:rsidRPr="002D10A5" w:rsidRDefault="00236CD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Pagėgių savivaldybės gyventojų visuomenės sveikatos stebėsenos ataskaitoje analizuojamų rodiklių duomenys ir jų interpretavimas pateikiami 1 lentelėje „Pagėgių savivaldybės visuomenės sveikatos stebėsenos rodiklių profilis“.</w:t>
      </w:r>
    </w:p>
    <w:p w:rsidR="00236CDA" w:rsidRPr="002D10A5" w:rsidRDefault="00236CD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Remiantis profilio rodikliais ir jų interpretavimo rezultatais išrinktos 3 PRS reikšmės, kurių rodiklis ar pokyčio kryptis prasčiausios palyginti su kitų savivaldybių profilio reikšmėmis. Sudarytas probleminių visuomenės sveikatos sričių (temų) sąrašas. Šiose srityse atlikta atrinktų rodiklių išsami analizė ir vertinimas.</w:t>
      </w:r>
    </w:p>
    <w:p w:rsidR="00236CDA" w:rsidRPr="002D10A5" w:rsidRDefault="00236CDA" w:rsidP="008663F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Iš 1 lentelės „Pagėgių savivaldybės visuomenės  sveikatos stebėsenos rodiklių profilis“ pateiktų PRS rodiklių reikšmių matyti, kad:</w:t>
      </w:r>
    </w:p>
    <w:p w:rsidR="00236CDA" w:rsidRPr="002D10A5" w:rsidRDefault="00236CDA" w:rsidP="00227C91">
      <w:pPr>
        <w:numPr>
          <w:ilvl w:val="0"/>
          <w:numId w:val="3"/>
        </w:numPr>
        <w:spacing w:after="0"/>
        <w:jc w:val="both"/>
        <w:rPr>
          <w:rFonts w:ascii="Times New Roman" w:hAnsi="Times New Roman" w:cs="Times New Roman"/>
          <w:b/>
          <w:bCs/>
          <w:sz w:val="24"/>
          <w:szCs w:val="24"/>
        </w:rPr>
      </w:pPr>
      <w:r w:rsidRPr="002D10A5">
        <w:rPr>
          <w:rFonts w:ascii="Times New Roman" w:hAnsi="Times New Roman" w:cs="Times New Roman"/>
          <w:b/>
          <w:bCs/>
          <w:sz w:val="24"/>
          <w:szCs w:val="24"/>
        </w:rPr>
        <w:t>Iš visų sveikatos rodiklių yra geresni (</w:t>
      </w:r>
      <w:r w:rsidRPr="002D10A5">
        <w:rPr>
          <w:rFonts w:ascii="Times New Roman" w:hAnsi="Times New Roman" w:cs="Times New Roman"/>
          <w:b/>
          <w:bCs/>
          <w:sz w:val="24"/>
          <w:szCs w:val="24"/>
          <w:highlight w:val="green"/>
        </w:rPr>
        <w:t>žalioji zona</w:t>
      </w:r>
      <w:r w:rsidRPr="002D10A5">
        <w:rPr>
          <w:rFonts w:ascii="Times New Roman" w:hAnsi="Times New Roman" w:cs="Times New Roman"/>
          <w:b/>
          <w:bCs/>
          <w:sz w:val="24"/>
          <w:szCs w:val="24"/>
        </w:rPr>
        <w:t>):</w:t>
      </w:r>
    </w:p>
    <w:p w:rsidR="00236CDA" w:rsidRPr="002D10A5" w:rsidRDefault="00236CDA" w:rsidP="00227C91">
      <w:pPr>
        <w:pStyle w:val="ListParagraph"/>
        <w:numPr>
          <w:ilvl w:val="1"/>
          <w:numId w:val="6"/>
        </w:numPr>
        <w:spacing w:after="0"/>
        <w:jc w:val="both"/>
        <w:rPr>
          <w:rFonts w:ascii="Times New Roman" w:hAnsi="Times New Roman" w:cs="Times New Roman"/>
          <w:sz w:val="24"/>
          <w:szCs w:val="24"/>
        </w:rPr>
      </w:pPr>
      <w:r w:rsidRPr="002D10A5">
        <w:rPr>
          <w:rFonts w:ascii="Times New Roman" w:hAnsi="Times New Roman" w:cs="Times New Roman"/>
          <w:sz w:val="24"/>
          <w:szCs w:val="24"/>
        </w:rPr>
        <w:t>Darbingo amžiaus asmenų, pirmą kartą pripažintų neįgaliais;</w:t>
      </w:r>
    </w:p>
    <w:p w:rsidR="00236CDA" w:rsidRPr="002D10A5" w:rsidRDefault="00236CDA" w:rsidP="00227C91">
      <w:pPr>
        <w:pStyle w:val="ListParagraph"/>
        <w:numPr>
          <w:ilvl w:val="1"/>
          <w:numId w:val="6"/>
        </w:numPr>
        <w:spacing w:after="0"/>
        <w:jc w:val="both"/>
        <w:rPr>
          <w:rFonts w:ascii="Times New Roman" w:hAnsi="Times New Roman" w:cs="Times New Roman"/>
          <w:sz w:val="24"/>
          <w:szCs w:val="24"/>
        </w:rPr>
      </w:pPr>
      <w:r w:rsidRPr="002D10A5">
        <w:rPr>
          <w:rFonts w:ascii="Times New Roman" w:hAnsi="Times New Roman" w:cs="Times New Roman"/>
          <w:sz w:val="24"/>
          <w:szCs w:val="24"/>
        </w:rPr>
        <w:t>Pėsčiųjų mirtingumas dėl transporto įvykių;</w:t>
      </w:r>
    </w:p>
    <w:p w:rsidR="00236CDA" w:rsidRPr="002D10A5" w:rsidRDefault="00236CDA" w:rsidP="00227C91">
      <w:pPr>
        <w:pStyle w:val="ListParagraph"/>
        <w:numPr>
          <w:ilvl w:val="1"/>
          <w:numId w:val="6"/>
        </w:numPr>
        <w:spacing w:after="0"/>
        <w:jc w:val="both"/>
        <w:rPr>
          <w:rFonts w:ascii="Times New Roman" w:hAnsi="Times New Roman" w:cs="Times New Roman"/>
          <w:sz w:val="24"/>
          <w:szCs w:val="24"/>
        </w:rPr>
      </w:pPr>
      <w:r w:rsidRPr="002D10A5">
        <w:rPr>
          <w:rFonts w:ascii="Times New Roman" w:hAnsi="Times New Roman" w:cs="Times New Roman"/>
          <w:sz w:val="24"/>
          <w:szCs w:val="24"/>
        </w:rPr>
        <w:t>Mirtingumas/standartizuotas mirtingumas dėl priežasčių susijusių su alkoholio vartojimu;</w:t>
      </w:r>
    </w:p>
    <w:p w:rsidR="00236CDA" w:rsidRPr="002D10A5" w:rsidRDefault="00236CDA" w:rsidP="00227C91">
      <w:pPr>
        <w:pStyle w:val="ListParagraph"/>
        <w:numPr>
          <w:ilvl w:val="1"/>
          <w:numId w:val="6"/>
        </w:numPr>
        <w:spacing w:after="0"/>
        <w:jc w:val="both"/>
        <w:rPr>
          <w:rFonts w:ascii="Times New Roman" w:hAnsi="Times New Roman" w:cs="Times New Roman"/>
          <w:sz w:val="24"/>
          <w:szCs w:val="24"/>
        </w:rPr>
      </w:pPr>
      <w:r w:rsidRPr="002D10A5">
        <w:rPr>
          <w:rFonts w:ascii="Times New Roman" w:hAnsi="Times New Roman" w:cs="Times New Roman"/>
          <w:sz w:val="24"/>
          <w:szCs w:val="24"/>
        </w:rPr>
        <w:t>Šeimos medicinos paslaugas teikiančių gydytojų skaičius;</w:t>
      </w:r>
    </w:p>
    <w:p w:rsidR="00236CDA" w:rsidRPr="002D10A5" w:rsidRDefault="00236CDA" w:rsidP="00227C91">
      <w:pPr>
        <w:pStyle w:val="ListParagraph"/>
        <w:numPr>
          <w:ilvl w:val="1"/>
          <w:numId w:val="6"/>
        </w:numPr>
        <w:spacing w:after="0"/>
        <w:jc w:val="both"/>
        <w:rPr>
          <w:rFonts w:ascii="Times New Roman" w:hAnsi="Times New Roman" w:cs="Times New Roman"/>
          <w:sz w:val="24"/>
          <w:szCs w:val="24"/>
        </w:rPr>
      </w:pPr>
      <w:r w:rsidRPr="002D10A5">
        <w:rPr>
          <w:rFonts w:ascii="Times New Roman" w:hAnsi="Times New Roman" w:cs="Times New Roman"/>
          <w:sz w:val="24"/>
          <w:szCs w:val="24"/>
        </w:rPr>
        <w:t>Kūdikių (vaikų iki 1 m.) amžiaus mirtingumas;</w:t>
      </w:r>
    </w:p>
    <w:p w:rsidR="00236CDA" w:rsidRPr="002D10A5" w:rsidRDefault="00236CDA" w:rsidP="00227C91">
      <w:pPr>
        <w:pStyle w:val="ListParagraph"/>
        <w:numPr>
          <w:ilvl w:val="1"/>
          <w:numId w:val="6"/>
        </w:numPr>
        <w:spacing w:after="0"/>
        <w:jc w:val="both"/>
        <w:rPr>
          <w:rFonts w:ascii="Times New Roman" w:hAnsi="Times New Roman" w:cs="Times New Roman"/>
          <w:sz w:val="24"/>
          <w:szCs w:val="24"/>
        </w:rPr>
      </w:pPr>
      <w:r w:rsidRPr="002D10A5">
        <w:rPr>
          <w:rFonts w:ascii="Times New Roman" w:hAnsi="Times New Roman" w:cs="Times New Roman"/>
          <w:sz w:val="24"/>
          <w:szCs w:val="24"/>
        </w:rPr>
        <w:t>Mokinių dantų ėduonies intensyvumo  indeksas;</w:t>
      </w:r>
    </w:p>
    <w:p w:rsidR="00236CDA" w:rsidRPr="002D10A5" w:rsidRDefault="00236CDA" w:rsidP="00227C91">
      <w:pPr>
        <w:pStyle w:val="ListParagraph"/>
        <w:numPr>
          <w:ilvl w:val="1"/>
          <w:numId w:val="6"/>
        </w:numPr>
        <w:spacing w:after="0"/>
        <w:jc w:val="both"/>
        <w:rPr>
          <w:rFonts w:ascii="Times New Roman" w:hAnsi="Times New Roman" w:cs="Times New Roman"/>
          <w:sz w:val="24"/>
          <w:szCs w:val="24"/>
        </w:rPr>
      </w:pPr>
      <w:r w:rsidRPr="002D10A5">
        <w:rPr>
          <w:rFonts w:ascii="Times New Roman" w:hAnsi="Times New Roman" w:cs="Times New Roman"/>
          <w:sz w:val="24"/>
          <w:szCs w:val="24"/>
        </w:rPr>
        <w:t>Paau</w:t>
      </w:r>
      <w:r>
        <w:rPr>
          <w:rFonts w:ascii="Times New Roman" w:hAnsi="Times New Roman" w:cs="Times New Roman"/>
          <w:sz w:val="24"/>
          <w:szCs w:val="24"/>
        </w:rPr>
        <w:t>glių (15-17 m.) gimdymų skaičius;</w:t>
      </w:r>
    </w:p>
    <w:p w:rsidR="00236CDA" w:rsidRPr="002D10A5" w:rsidRDefault="00236CDA" w:rsidP="00227C91">
      <w:pPr>
        <w:pStyle w:val="ListParagraph"/>
        <w:numPr>
          <w:ilvl w:val="1"/>
          <w:numId w:val="6"/>
        </w:numPr>
        <w:spacing w:after="0"/>
        <w:jc w:val="both"/>
        <w:rPr>
          <w:rFonts w:ascii="Times New Roman" w:hAnsi="Times New Roman" w:cs="Times New Roman"/>
          <w:sz w:val="24"/>
          <w:szCs w:val="24"/>
        </w:rPr>
      </w:pPr>
      <w:r w:rsidRPr="002D10A5">
        <w:rPr>
          <w:rFonts w:ascii="Times New Roman" w:hAnsi="Times New Roman" w:cs="Times New Roman"/>
          <w:sz w:val="24"/>
          <w:szCs w:val="24"/>
        </w:rPr>
        <w:t>Į atmosferą iš stacionarių taršos šaltinių išmestų teršalų kiekis, tenkantis 1 kvadratiniam kilometrui/kg</w:t>
      </w:r>
      <w:r>
        <w:rPr>
          <w:rFonts w:ascii="Times New Roman" w:hAnsi="Times New Roman" w:cs="Times New Roman"/>
          <w:sz w:val="24"/>
          <w:szCs w:val="24"/>
        </w:rPr>
        <w:t>.</w:t>
      </w:r>
    </w:p>
    <w:p w:rsidR="00236CDA" w:rsidRPr="002D10A5" w:rsidRDefault="00236CDA" w:rsidP="00227C91">
      <w:pPr>
        <w:spacing w:after="0"/>
        <w:ind w:firstLine="709"/>
        <w:jc w:val="both"/>
        <w:rPr>
          <w:rFonts w:ascii="Times New Roman" w:hAnsi="Times New Roman" w:cs="Times New Roman"/>
          <w:b/>
          <w:bCs/>
          <w:sz w:val="24"/>
          <w:szCs w:val="24"/>
        </w:rPr>
      </w:pPr>
      <w:r w:rsidRPr="002D10A5">
        <w:rPr>
          <w:rFonts w:ascii="Times New Roman" w:hAnsi="Times New Roman" w:cs="Times New Roman"/>
          <w:b/>
          <w:bCs/>
          <w:sz w:val="24"/>
          <w:szCs w:val="24"/>
        </w:rPr>
        <w:t>2. Rodiklių reikšmės patenkančios į prasčiausių analizuojamų reikšmių grupę (</w:t>
      </w:r>
      <w:r w:rsidRPr="002D10A5">
        <w:rPr>
          <w:rFonts w:ascii="Times New Roman" w:hAnsi="Times New Roman" w:cs="Times New Roman"/>
          <w:b/>
          <w:bCs/>
          <w:sz w:val="24"/>
          <w:szCs w:val="24"/>
          <w:highlight w:val="red"/>
        </w:rPr>
        <w:t>raudonoji zona</w:t>
      </w:r>
      <w:r w:rsidRPr="002D10A5">
        <w:rPr>
          <w:rFonts w:ascii="Times New Roman" w:hAnsi="Times New Roman" w:cs="Times New Roman"/>
          <w:b/>
          <w:bCs/>
          <w:sz w:val="24"/>
          <w:szCs w:val="24"/>
        </w:rPr>
        <w:t>):</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2.1. Mirtingumas/standartizuotas mirtingumas dėl savižudybių;</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2.2. Mokyklinio amžiaus vaikų, nesimokančių mokyklose skaičius;</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2.3. Socialinės rizikos šeimų skaičius;</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2.4. Gyventojų skaičiaus pokytis;</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2.5. Mokinių gaunančių nemokamą maitinimą mokyklose, skaičius;</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2.6. Socialinės pašalpos gavėjų skaičius;</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2.7. Sergamumas tuberkulioze;</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2.8. Asmenų, žuvusių ar sunkiai sužalotų dėl nelaimingų atsitikimų darbe, skaičius;</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2.9. Transporto įvykiuose patirtų traumų skaičius;</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2.10. Mirtingumas/standartizuotas mirtingumas dėl priežasčių, susijusių su narkotikų vartojimu;</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2.11. Kūdikių, išimtinai žindytų iki 6 mėn. amžiaus, dalis;</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2.12. Apsilankymų pas gydytojus skaičius, tenkantis vienam gyventojui;</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2.13. Sergamumas vaistams atsparia tuberkulioze;</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2.14. Mirtingumas/standartizuotas mirtingumas nuo piktybinių navikų.</w:t>
      </w:r>
    </w:p>
    <w:p w:rsidR="00236CDA" w:rsidRPr="002D10A5" w:rsidRDefault="00236CDA" w:rsidP="00227C91">
      <w:pPr>
        <w:spacing w:after="0"/>
        <w:ind w:firstLine="709"/>
        <w:jc w:val="both"/>
        <w:rPr>
          <w:rFonts w:ascii="Times New Roman" w:hAnsi="Times New Roman" w:cs="Times New Roman"/>
          <w:b/>
          <w:bCs/>
          <w:sz w:val="24"/>
          <w:szCs w:val="24"/>
        </w:rPr>
      </w:pPr>
      <w:r w:rsidRPr="002D10A5">
        <w:rPr>
          <w:rFonts w:ascii="Times New Roman" w:hAnsi="Times New Roman" w:cs="Times New Roman"/>
          <w:b/>
          <w:bCs/>
          <w:sz w:val="24"/>
          <w:szCs w:val="24"/>
        </w:rPr>
        <w:t>3. Dauguma Pagėgių savivaldybės rodiklių reikšmių patenka į Lietuvos vidurkį atitinkančią analizuojamų reikšmių grupę (</w:t>
      </w:r>
      <w:r w:rsidRPr="002D10A5">
        <w:rPr>
          <w:rFonts w:ascii="Times New Roman" w:hAnsi="Times New Roman" w:cs="Times New Roman"/>
          <w:b/>
          <w:bCs/>
          <w:sz w:val="24"/>
          <w:szCs w:val="24"/>
          <w:highlight w:val="yellow"/>
        </w:rPr>
        <w:t>geltonoji zona</w:t>
      </w:r>
      <w:r w:rsidRPr="002D10A5">
        <w:rPr>
          <w:rFonts w:ascii="Times New Roman" w:hAnsi="Times New Roman" w:cs="Times New Roman"/>
          <w:b/>
          <w:bCs/>
          <w:sz w:val="24"/>
          <w:szCs w:val="24"/>
        </w:rPr>
        <w:t>) (žr. 1 lent.), tačiau vertėtų atkreipti dėmesį</w:t>
      </w:r>
      <w:r w:rsidRPr="002D10A5">
        <w:rPr>
          <w:rFonts w:ascii="Times New Roman" w:hAnsi="Times New Roman" w:cs="Times New Roman"/>
          <w:sz w:val="24"/>
          <w:szCs w:val="24"/>
        </w:rPr>
        <w:t xml:space="preserve"> </w:t>
      </w:r>
      <w:r w:rsidRPr="002D10A5">
        <w:rPr>
          <w:rFonts w:ascii="Times New Roman" w:hAnsi="Times New Roman" w:cs="Times New Roman"/>
          <w:b/>
          <w:bCs/>
          <w:sz w:val="24"/>
          <w:szCs w:val="24"/>
        </w:rPr>
        <w:t>į rodiklius, artėjančius prie „raudonosios zonos“, tai:</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3.1.  Vidutinė tikėtina gyvenimo trukmė;</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3.2.  Mirtingumas dėl atsitiktinių paskendimų;</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3.3.  Slaugytojų, tenkančių vienam gydytojui, skaičius;</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3.4.  2 metų amžiaus vaikų MMR1 (tymų, epideminio parotito, raudonukės vakcina, 1 dozė);</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3.5. Tikslinės populiacijos dalis, dalyvavusi gimdos kaklelio piktybinių navikų prevencinių priemonių, apmokamų iš Privalomojo sveikatos draudimo biudže</w:t>
      </w:r>
      <w:r>
        <w:rPr>
          <w:rFonts w:ascii="Times New Roman" w:hAnsi="Times New Roman" w:cs="Times New Roman"/>
          <w:sz w:val="24"/>
          <w:szCs w:val="24"/>
        </w:rPr>
        <w:t>to lėšų, finansavimo programoje;</w:t>
      </w:r>
    </w:p>
    <w:p w:rsidR="00236CDA" w:rsidRPr="002D10A5" w:rsidRDefault="00236CDA" w:rsidP="00227C91">
      <w:pPr>
        <w:spacing w:after="0"/>
        <w:ind w:firstLine="709"/>
        <w:jc w:val="both"/>
        <w:rPr>
          <w:rFonts w:ascii="Times New Roman" w:hAnsi="Times New Roman" w:cs="Times New Roman"/>
          <w:sz w:val="24"/>
          <w:szCs w:val="24"/>
        </w:rPr>
      </w:pPr>
      <w:r w:rsidRPr="002D10A5">
        <w:rPr>
          <w:rFonts w:ascii="Times New Roman" w:hAnsi="Times New Roman" w:cs="Times New Roman"/>
          <w:sz w:val="24"/>
          <w:szCs w:val="24"/>
        </w:rPr>
        <w:t>3.6. Išvengi</w:t>
      </w:r>
      <w:r>
        <w:rPr>
          <w:rFonts w:ascii="Times New Roman" w:hAnsi="Times New Roman" w:cs="Times New Roman"/>
          <w:sz w:val="24"/>
          <w:szCs w:val="24"/>
        </w:rPr>
        <w:t>a</w:t>
      </w:r>
      <w:r w:rsidRPr="002D10A5">
        <w:rPr>
          <w:rFonts w:ascii="Times New Roman" w:hAnsi="Times New Roman" w:cs="Times New Roman"/>
          <w:sz w:val="24"/>
          <w:szCs w:val="24"/>
        </w:rPr>
        <w:t>mas mirtingumas.</w:t>
      </w:r>
    </w:p>
    <w:p w:rsidR="00236CDA" w:rsidRPr="002D10A5" w:rsidRDefault="00236CDA" w:rsidP="0082255F">
      <w:pPr>
        <w:ind w:firstLine="1134"/>
        <w:jc w:val="both"/>
        <w:rPr>
          <w:rFonts w:ascii="Times New Roman" w:hAnsi="Times New Roman" w:cs="Times New Roman"/>
          <w:sz w:val="24"/>
          <w:szCs w:val="24"/>
        </w:rPr>
      </w:pPr>
      <w:r w:rsidRPr="002D10A5">
        <w:rPr>
          <w:rFonts w:ascii="Times New Roman" w:hAnsi="Times New Roman" w:cs="Times New Roman"/>
          <w:i/>
          <w:iCs/>
          <w:sz w:val="24"/>
          <w:szCs w:val="24"/>
        </w:rPr>
        <w:t>Pirmajame lentelės stulpelyje</w:t>
      </w:r>
      <w:r w:rsidRPr="002D10A5">
        <w:rPr>
          <w:rFonts w:ascii="Times New Roman" w:hAnsi="Times New Roman" w:cs="Times New Roman"/>
          <w:sz w:val="24"/>
          <w:szCs w:val="24"/>
        </w:rPr>
        <w:t xml:space="preserve"> pateikiami PRS, suskirstyti pagal Lietuvos sveikatos programoje numatomus įgyvendinti tikslus ir uždavinius. </w:t>
      </w:r>
      <w:r w:rsidRPr="002D10A5">
        <w:rPr>
          <w:rFonts w:ascii="Times New Roman" w:hAnsi="Times New Roman" w:cs="Times New Roman"/>
          <w:i/>
          <w:iCs/>
          <w:sz w:val="24"/>
          <w:szCs w:val="24"/>
        </w:rPr>
        <w:t>Antrajame stulpelyje</w:t>
      </w:r>
      <w:r w:rsidRPr="002D10A5">
        <w:rPr>
          <w:rFonts w:ascii="Times New Roman" w:hAnsi="Times New Roman" w:cs="Times New Roman"/>
          <w:sz w:val="24"/>
          <w:szCs w:val="24"/>
        </w:rPr>
        <w:t xml:space="preserve"> pateikiami atvejai absoliučiais skaičiais (pvz. kiek gyventojų mirė dėl savižudybių, kiek dirba šeimos gydytojų, kiek išduota licencijų prekiauti alkoholiu ir pan.), </w:t>
      </w:r>
      <w:r w:rsidRPr="002D10A5">
        <w:rPr>
          <w:rFonts w:ascii="Times New Roman" w:hAnsi="Times New Roman" w:cs="Times New Roman"/>
          <w:i/>
          <w:iCs/>
          <w:sz w:val="24"/>
          <w:szCs w:val="24"/>
        </w:rPr>
        <w:t>trečiajame</w:t>
      </w:r>
      <w:r w:rsidRPr="002D10A5">
        <w:rPr>
          <w:rFonts w:ascii="Times New Roman" w:hAnsi="Times New Roman" w:cs="Times New Roman"/>
          <w:sz w:val="24"/>
          <w:szCs w:val="24"/>
        </w:rPr>
        <w:t xml:space="preserve"> – Pagėgių savivaldybės rodiklio reikšmė, </w:t>
      </w:r>
      <w:r w:rsidRPr="002D10A5">
        <w:rPr>
          <w:rFonts w:ascii="Times New Roman" w:hAnsi="Times New Roman" w:cs="Times New Roman"/>
          <w:i/>
          <w:iCs/>
          <w:sz w:val="24"/>
          <w:szCs w:val="24"/>
        </w:rPr>
        <w:t>ketvirtajame</w:t>
      </w:r>
      <w:r w:rsidRPr="002D1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10A5">
        <w:rPr>
          <w:rFonts w:ascii="Times New Roman" w:hAnsi="Times New Roman" w:cs="Times New Roman"/>
          <w:sz w:val="24"/>
          <w:szCs w:val="24"/>
        </w:rPr>
        <w:t xml:space="preserve">atitinkamo rodiklio Lietuvos vidurkio reikšmė, </w:t>
      </w:r>
      <w:r w:rsidRPr="002D10A5">
        <w:rPr>
          <w:rFonts w:ascii="Times New Roman" w:hAnsi="Times New Roman" w:cs="Times New Roman"/>
          <w:i/>
          <w:iCs/>
          <w:sz w:val="24"/>
          <w:szCs w:val="24"/>
        </w:rPr>
        <w:t>penktajame</w:t>
      </w:r>
      <w:r w:rsidRPr="002D10A5">
        <w:rPr>
          <w:rFonts w:ascii="Times New Roman" w:hAnsi="Times New Roman" w:cs="Times New Roman"/>
          <w:sz w:val="24"/>
          <w:szCs w:val="24"/>
        </w:rPr>
        <w:t xml:space="preserve"> – mažiausia reikšmė tarp visų savivaldybių, </w:t>
      </w:r>
      <w:r w:rsidRPr="002D10A5">
        <w:rPr>
          <w:rFonts w:ascii="Times New Roman" w:hAnsi="Times New Roman" w:cs="Times New Roman"/>
          <w:i/>
          <w:iCs/>
          <w:sz w:val="24"/>
          <w:szCs w:val="24"/>
        </w:rPr>
        <w:t>šeštajame –</w:t>
      </w:r>
      <w:r w:rsidRPr="002D10A5">
        <w:rPr>
          <w:rFonts w:ascii="Times New Roman" w:hAnsi="Times New Roman" w:cs="Times New Roman"/>
          <w:sz w:val="24"/>
          <w:szCs w:val="24"/>
        </w:rPr>
        <w:t xml:space="preserve"> didžiausia reikšmė tarp visų savivaldybių, </w:t>
      </w:r>
      <w:r w:rsidRPr="002D10A5">
        <w:rPr>
          <w:rFonts w:ascii="Times New Roman" w:hAnsi="Times New Roman" w:cs="Times New Roman"/>
          <w:i/>
          <w:iCs/>
          <w:sz w:val="24"/>
          <w:szCs w:val="24"/>
        </w:rPr>
        <w:t>septintajame</w:t>
      </w:r>
      <w:r w:rsidRPr="002D10A5">
        <w:rPr>
          <w:rFonts w:ascii="Times New Roman" w:hAnsi="Times New Roman" w:cs="Times New Roman"/>
          <w:sz w:val="24"/>
          <w:szCs w:val="24"/>
        </w:rPr>
        <w:t xml:space="preserve"> – savivaldybės rodiklio interpretavimas (reikšmės savivaldybėje santykis su Lietuvos vidurkio reikšme ir savivaldybės vietos visų savivaldybių pavaizdavimas pagal „šviesoforo“ principą).</w:t>
      </w:r>
    </w:p>
    <w:p w:rsidR="00236CDA" w:rsidRDefault="00236CDA" w:rsidP="00E8651B">
      <w:pPr>
        <w:ind w:firstLine="709"/>
        <w:jc w:val="center"/>
        <w:rPr>
          <w:rFonts w:ascii="Times New Roman" w:hAnsi="Times New Roman" w:cs="Times New Roman"/>
          <w:sz w:val="24"/>
          <w:szCs w:val="24"/>
        </w:rPr>
        <w:sectPr w:rsidR="00236CDA" w:rsidSect="004858A7">
          <w:footerReference w:type="default" r:id="rId10"/>
          <w:pgSz w:w="12240" w:h="15840"/>
          <w:pgMar w:top="1134" w:right="567" w:bottom="1134" w:left="1701" w:header="709" w:footer="709" w:gutter="0"/>
          <w:cols w:space="708"/>
          <w:docGrid w:linePitch="360"/>
        </w:sectPr>
      </w:pPr>
    </w:p>
    <w:p w:rsidR="00236CDA" w:rsidRPr="008E1CB2" w:rsidRDefault="00236CDA" w:rsidP="00E8651B">
      <w:pPr>
        <w:ind w:firstLine="709"/>
        <w:jc w:val="center"/>
        <w:rPr>
          <w:rFonts w:ascii="Times New Roman" w:hAnsi="Times New Roman" w:cs="Times New Roman"/>
          <w:sz w:val="24"/>
          <w:szCs w:val="24"/>
        </w:rPr>
      </w:pPr>
      <w:r w:rsidRPr="008E1CB2">
        <w:rPr>
          <w:rFonts w:ascii="Times New Roman" w:hAnsi="Times New Roman" w:cs="Times New Roman"/>
          <w:sz w:val="24"/>
          <w:szCs w:val="24"/>
        </w:rPr>
        <w:t>1 lentelė. Pagėgių savivaldybės visuomenės sveikatos stebėsenos rodiklių profilis</w:t>
      </w:r>
    </w:p>
    <w:tbl>
      <w:tblPr>
        <w:tblW w:w="15292" w:type="dxa"/>
        <w:tblInd w:w="-106" w:type="dxa"/>
        <w:tblLayout w:type="fixed"/>
        <w:tblLook w:val="00A0"/>
      </w:tblPr>
      <w:tblGrid>
        <w:gridCol w:w="6394"/>
        <w:gridCol w:w="1418"/>
        <w:gridCol w:w="1417"/>
        <w:gridCol w:w="1134"/>
        <w:gridCol w:w="1276"/>
        <w:gridCol w:w="1417"/>
        <w:gridCol w:w="1276"/>
        <w:gridCol w:w="960"/>
      </w:tblGrid>
      <w:tr w:rsidR="00236CDA" w:rsidRPr="00C5221C">
        <w:trPr>
          <w:trHeight w:val="705"/>
        </w:trPr>
        <w:tc>
          <w:tcPr>
            <w:tcW w:w="6394" w:type="dxa"/>
            <w:tcBorders>
              <w:top w:val="single" w:sz="4" w:space="0" w:color="auto"/>
              <w:left w:val="single" w:sz="4" w:space="0" w:color="auto"/>
              <w:bottom w:val="single" w:sz="4" w:space="0" w:color="auto"/>
              <w:right w:val="single" w:sz="4" w:space="0" w:color="auto"/>
            </w:tcBorders>
            <w:shd w:val="clear" w:color="000000" w:fill="E6B9B8"/>
            <w:noWrap/>
            <w:vAlign w:val="center"/>
          </w:tcPr>
          <w:p w:rsidR="00236CDA" w:rsidRPr="002D10A5" w:rsidRDefault="00236CD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Rodiklis</w:t>
            </w:r>
          </w:p>
        </w:tc>
        <w:tc>
          <w:tcPr>
            <w:tcW w:w="1418" w:type="dxa"/>
            <w:tcBorders>
              <w:top w:val="single" w:sz="4" w:space="0" w:color="auto"/>
              <w:left w:val="single" w:sz="4" w:space="0" w:color="auto"/>
              <w:bottom w:val="single" w:sz="4" w:space="0" w:color="auto"/>
              <w:right w:val="single" w:sz="4" w:space="0" w:color="auto"/>
            </w:tcBorders>
            <w:shd w:val="clear" w:color="000000" w:fill="E6B9B8"/>
            <w:vAlign w:val="center"/>
          </w:tcPr>
          <w:p w:rsidR="00236CDA" w:rsidRPr="002D10A5" w:rsidRDefault="00236CDA" w:rsidP="0082255F">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Atvejų skaičius</w:t>
            </w:r>
          </w:p>
          <w:p w:rsidR="00236CDA" w:rsidRPr="002D10A5" w:rsidRDefault="00236CDA" w:rsidP="0082255F">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(abs. sk.)</w:t>
            </w:r>
          </w:p>
          <w:p w:rsidR="00236CDA" w:rsidRPr="002D10A5" w:rsidRDefault="00236CDA" w:rsidP="0082255F">
            <w:pPr>
              <w:spacing w:after="0" w:line="240" w:lineRule="auto"/>
              <w:jc w:val="center"/>
              <w:rPr>
                <w:rFonts w:ascii="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000000" w:fill="E6B9B8"/>
            <w:vAlign w:val="center"/>
          </w:tcPr>
          <w:p w:rsidR="00236CDA" w:rsidRPr="002D10A5" w:rsidRDefault="00236CD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Pagėgių savivaldybės</w:t>
            </w:r>
          </w:p>
          <w:p w:rsidR="00236CDA" w:rsidRPr="002D10A5" w:rsidRDefault="00236CD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reikšmė</w:t>
            </w:r>
          </w:p>
        </w:tc>
        <w:tc>
          <w:tcPr>
            <w:tcW w:w="1134" w:type="dxa"/>
            <w:tcBorders>
              <w:top w:val="single" w:sz="4" w:space="0" w:color="auto"/>
              <w:left w:val="nil"/>
              <w:bottom w:val="single" w:sz="4" w:space="0" w:color="auto"/>
              <w:right w:val="single" w:sz="4" w:space="0" w:color="auto"/>
            </w:tcBorders>
            <w:shd w:val="clear" w:color="000000" w:fill="E6B9B8"/>
            <w:vAlign w:val="center"/>
          </w:tcPr>
          <w:p w:rsidR="00236CDA" w:rsidRPr="002D10A5" w:rsidRDefault="00236CD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Lietuvos rodiklis</w:t>
            </w:r>
          </w:p>
        </w:tc>
        <w:tc>
          <w:tcPr>
            <w:tcW w:w="1276" w:type="dxa"/>
            <w:tcBorders>
              <w:top w:val="single" w:sz="4" w:space="0" w:color="auto"/>
              <w:left w:val="nil"/>
              <w:bottom w:val="single" w:sz="4" w:space="0" w:color="auto"/>
              <w:right w:val="single" w:sz="4" w:space="0" w:color="auto"/>
            </w:tcBorders>
            <w:shd w:val="clear" w:color="000000" w:fill="E6B9B8"/>
            <w:vAlign w:val="center"/>
          </w:tcPr>
          <w:p w:rsidR="00236CDA" w:rsidRPr="002D10A5" w:rsidRDefault="00236CD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 xml:space="preserve">Mažiausia </w:t>
            </w:r>
          </w:p>
          <w:p w:rsidR="00236CDA" w:rsidRPr="002D10A5" w:rsidRDefault="00236CD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 xml:space="preserve">rodiklio </w:t>
            </w:r>
          </w:p>
          <w:p w:rsidR="00236CDA" w:rsidRPr="002D10A5" w:rsidRDefault="00236CD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reikšmė</w:t>
            </w:r>
          </w:p>
        </w:tc>
        <w:tc>
          <w:tcPr>
            <w:tcW w:w="1417" w:type="dxa"/>
            <w:tcBorders>
              <w:top w:val="single" w:sz="4" w:space="0" w:color="auto"/>
              <w:left w:val="nil"/>
              <w:bottom w:val="single" w:sz="4" w:space="0" w:color="auto"/>
              <w:right w:val="single" w:sz="4" w:space="0" w:color="auto"/>
            </w:tcBorders>
            <w:shd w:val="clear" w:color="000000" w:fill="E6B9B8"/>
            <w:vAlign w:val="center"/>
          </w:tcPr>
          <w:p w:rsidR="00236CDA" w:rsidRPr="002D10A5" w:rsidRDefault="00236CD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Didžiausia rodiklio reikšmė</w:t>
            </w:r>
          </w:p>
        </w:tc>
        <w:tc>
          <w:tcPr>
            <w:tcW w:w="1276" w:type="dxa"/>
            <w:tcBorders>
              <w:top w:val="single" w:sz="4" w:space="0" w:color="auto"/>
              <w:left w:val="nil"/>
              <w:bottom w:val="single" w:sz="4" w:space="0" w:color="auto"/>
              <w:right w:val="single" w:sz="4" w:space="0" w:color="auto"/>
            </w:tcBorders>
            <w:shd w:val="clear" w:color="000000" w:fill="E6B9B8"/>
            <w:vAlign w:val="center"/>
          </w:tcPr>
          <w:p w:rsidR="00236CDA" w:rsidRPr="002D10A5" w:rsidRDefault="00236CDA" w:rsidP="00581760">
            <w:pPr>
              <w:spacing w:after="0" w:line="240" w:lineRule="auto"/>
              <w:jc w:val="center"/>
              <w:rPr>
                <w:rFonts w:ascii="Times New Roman" w:hAnsi="Times New Roman" w:cs="Times New Roman"/>
                <w:color w:val="000000"/>
              </w:rPr>
            </w:pPr>
            <w:r w:rsidRPr="002D10A5">
              <w:rPr>
                <w:rFonts w:ascii="Times New Roman" w:hAnsi="Times New Roman" w:cs="Times New Roman"/>
                <w:color w:val="000000"/>
              </w:rPr>
              <w:t>Santykis:</w:t>
            </w:r>
          </w:p>
          <w:p w:rsidR="00236CDA" w:rsidRPr="002D10A5" w:rsidRDefault="00236CDA" w:rsidP="00147701">
            <w:pPr>
              <w:spacing w:after="0" w:line="240" w:lineRule="auto"/>
              <w:jc w:val="center"/>
              <w:rPr>
                <w:rFonts w:ascii="Times New Roman" w:hAnsi="Times New Roman" w:cs="Times New Roman"/>
                <w:color w:val="000000"/>
              </w:rPr>
            </w:pPr>
            <w:r>
              <w:rPr>
                <w:rFonts w:ascii="Times New Roman" w:hAnsi="Times New Roman" w:cs="Times New Roman"/>
                <w:color w:val="000000"/>
              </w:rPr>
              <w:t>savivaldybė</w:t>
            </w:r>
            <w:r w:rsidRPr="00325097">
              <w:rPr>
                <w:rFonts w:ascii="Times New Roman" w:hAnsi="Times New Roman" w:cs="Times New Roman"/>
                <w:color w:val="000000"/>
              </w:rPr>
              <w:t>/</w:t>
            </w:r>
            <w:r w:rsidRPr="002D10A5">
              <w:rPr>
                <w:rFonts w:ascii="Times New Roman" w:hAnsi="Times New Roman" w:cs="Times New Roman"/>
                <w:color w:val="000000"/>
              </w:rPr>
              <w:t>Lietuva</w:t>
            </w:r>
            <w:r>
              <w:rPr>
                <w:rFonts w:ascii="Times New Roman" w:hAnsi="Times New Roman" w:cs="Times New Roman"/>
                <w:color w:val="000000"/>
              </w:rPr>
              <w:t>/</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30"/>
        </w:trPr>
        <w:tc>
          <w:tcPr>
            <w:tcW w:w="6394" w:type="dxa"/>
            <w:tcBorders>
              <w:top w:val="nil"/>
              <w:left w:val="single" w:sz="4" w:space="0" w:color="auto"/>
              <w:bottom w:val="single" w:sz="4" w:space="0" w:color="auto"/>
              <w:right w:val="single" w:sz="4" w:space="0" w:color="auto"/>
            </w:tcBorders>
            <w:shd w:val="clear" w:color="000000" w:fill="E6B9B8"/>
            <w:noWrap/>
            <w:vAlign w:val="bottom"/>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w:t>
            </w:r>
          </w:p>
        </w:tc>
        <w:tc>
          <w:tcPr>
            <w:tcW w:w="1418" w:type="dxa"/>
            <w:tcBorders>
              <w:top w:val="nil"/>
              <w:left w:val="single" w:sz="4" w:space="0" w:color="auto"/>
              <w:bottom w:val="single" w:sz="4" w:space="0" w:color="auto"/>
              <w:right w:val="single" w:sz="4" w:space="0" w:color="auto"/>
            </w:tcBorders>
            <w:shd w:val="clear" w:color="000000" w:fill="E6B9B8"/>
            <w:vAlign w:val="bottom"/>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w:t>
            </w:r>
          </w:p>
        </w:tc>
        <w:tc>
          <w:tcPr>
            <w:tcW w:w="1417" w:type="dxa"/>
            <w:tcBorders>
              <w:top w:val="nil"/>
              <w:left w:val="nil"/>
              <w:bottom w:val="single" w:sz="4" w:space="0" w:color="auto"/>
              <w:right w:val="single" w:sz="4" w:space="0" w:color="auto"/>
            </w:tcBorders>
            <w:shd w:val="clear" w:color="000000" w:fill="E6B9B8"/>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000000" w:fill="E6B9B8"/>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000000" w:fill="E6B9B8"/>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000000" w:fill="E6B9B8"/>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000000" w:fill="E6B9B8"/>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512"/>
        </w:trPr>
        <w:tc>
          <w:tcPr>
            <w:tcW w:w="14332" w:type="dxa"/>
            <w:gridSpan w:val="7"/>
            <w:tcBorders>
              <w:top w:val="nil"/>
              <w:left w:val="single" w:sz="4" w:space="0" w:color="auto"/>
              <w:bottom w:val="single" w:sz="4" w:space="0" w:color="auto"/>
              <w:right w:val="single" w:sz="4" w:space="0" w:color="auto"/>
            </w:tcBorders>
            <w:shd w:val="clear" w:color="000000" w:fill="FDE9D9"/>
            <w:noWrap/>
            <w:vAlign w:val="bottom"/>
          </w:tcPr>
          <w:p w:rsidR="00236CDA" w:rsidRPr="002D10A5" w:rsidRDefault="00236CDA" w:rsidP="00147701">
            <w:pPr>
              <w:spacing w:after="0"/>
              <w:jc w:val="center"/>
              <w:rPr>
                <w:rFonts w:ascii="Times New Roman" w:hAnsi="Times New Roman" w:cs="Times New Roman"/>
                <w:b/>
                <w:bCs/>
                <w:color w:val="000000"/>
                <w:u w:val="single"/>
              </w:rPr>
            </w:pPr>
          </w:p>
          <w:p w:rsidR="00236CDA" w:rsidRPr="002D10A5" w:rsidRDefault="00236CDA" w:rsidP="00147701">
            <w:pPr>
              <w:spacing w:after="0"/>
              <w:jc w:val="center"/>
              <w:rPr>
                <w:rFonts w:ascii="Times New Roman" w:hAnsi="Times New Roman" w:cs="Times New Roman"/>
                <w:b/>
                <w:bCs/>
                <w:color w:val="000000"/>
                <w:u w:val="single"/>
              </w:rPr>
            </w:pPr>
            <w:r w:rsidRPr="002D10A5">
              <w:rPr>
                <w:rFonts w:ascii="Times New Roman" w:hAnsi="Times New Roman" w:cs="Times New Roman"/>
                <w:b/>
                <w:bCs/>
                <w:color w:val="000000"/>
                <w:u w:val="single"/>
              </w:rPr>
              <w:t>STRATEGINIS TIKSLAS - PASIEKTI, KAD 2025 METAIS ŠALIES GYVENTOJAI BŪTŲ SVEIKESNI IR GYVENTŲ ILGIAU, PAGERĖTŲ GYVENTOJŲ SVEIKATA IR SUMAŽĖTŲ SVEIKATOS NETOLYGUMAI</w:t>
            </w:r>
          </w:p>
          <w:p w:rsidR="00236CDA" w:rsidRPr="002D10A5" w:rsidRDefault="00236CDA" w:rsidP="00147701">
            <w:pPr>
              <w:spacing w:after="0"/>
              <w:jc w:val="center"/>
              <w:rPr>
                <w:rFonts w:ascii="Times New Roman" w:hAnsi="Times New Roman" w:cs="Times New Roman"/>
                <w:b/>
                <w:bCs/>
                <w:color w:val="000000"/>
                <w:u w:val="single"/>
              </w:rPr>
            </w:pP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7812" w:type="dxa"/>
            <w:gridSpan w:val="2"/>
            <w:tcBorders>
              <w:top w:val="nil"/>
              <w:left w:val="single" w:sz="4" w:space="0" w:color="auto"/>
              <w:bottom w:val="single" w:sz="4" w:space="0" w:color="auto"/>
              <w:right w:val="single" w:sz="4" w:space="0" w:color="auto"/>
            </w:tcBorders>
            <w:shd w:val="clear" w:color="000000" w:fill="FDE9D9"/>
            <w:noWrap/>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Vidutinė tikėtina gyvenimo trukmė (metais)</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72,4</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74,51</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69,1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76,8</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0,97</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Išvengiamas mirtingumas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49</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37,12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34,4</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27,6</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47</w:t>
            </w:r>
          </w:p>
        </w:tc>
        <w:tc>
          <w:tcPr>
            <w:tcW w:w="1276" w:type="dxa"/>
            <w:tcBorders>
              <w:top w:val="nil"/>
              <w:left w:val="nil"/>
              <w:bottom w:val="single" w:sz="4" w:space="0" w:color="auto"/>
              <w:right w:val="single" w:sz="4" w:space="0" w:color="auto"/>
            </w:tcBorders>
            <w:shd w:val="clear" w:color="auto" w:fill="FFFF00"/>
            <w:noWrap/>
            <w:vAlign w:val="center"/>
          </w:tcPr>
          <w:p w:rsidR="00236CDA" w:rsidRPr="002D10A5" w:rsidRDefault="00236CDA" w:rsidP="00147701">
            <w:pPr>
              <w:spacing w:after="0"/>
              <w:jc w:val="center"/>
              <w:rPr>
                <w:rFonts w:ascii="Times New Roman" w:hAnsi="Times New Roman" w:cs="Times New Roman"/>
                <w:sz w:val="24"/>
                <w:szCs w:val="24"/>
              </w:rPr>
            </w:pPr>
            <w:r w:rsidRPr="002D10A5">
              <w:rPr>
                <w:rFonts w:ascii="Times New Roman" w:hAnsi="Times New Roman" w:cs="Times New Roman"/>
                <w:sz w:val="24"/>
                <w:szCs w:val="24"/>
              </w:rPr>
              <w:t>1,08</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E6B9B8"/>
            <w:noWrap/>
            <w:vAlign w:val="bottom"/>
          </w:tcPr>
          <w:p w:rsidR="00236CDA" w:rsidRPr="002D10A5" w:rsidRDefault="00236CD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1 tikslas. Sukurti saugesnę socialinę aplinką, mažinti sveikatos netolygumus ir socialinę atskirtį</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tcPr>
          <w:p w:rsidR="00236CDA" w:rsidRPr="002D10A5" w:rsidRDefault="00236CD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1.1. Sumažinti skurdo lygį ir nedarbą</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Mirtingumas dėl savižudybių (X60-X84) (100 000 gyv.)</w:t>
            </w:r>
          </w:p>
        </w:tc>
        <w:tc>
          <w:tcPr>
            <w:tcW w:w="1418" w:type="dxa"/>
            <w:vMerge w:val="restart"/>
            <w:tcBorders>
              <w:top w:val="nil"/>
              <w:left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58,39</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30,84</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113,81</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1,89</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02"/>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savižudybių rodiklis</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(X60-X84) (100 000 gyv.)</w:t>
            </w:r>
          </w:p>
        </w:tc>
        <w:tc>
          <w:tcPr>
            <w:tcW w:w="1418" w:type="dxa"/>
            <w:vMerge/>
            <w:tcBorders>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70,52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30,41</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15</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75,5</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2,31</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02"/>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Mokyklinio amžiaus vaikų, nesimokančių mokyklose</w:t>
            </w:r>
            <w:r>
              <w:rPr>
                <w:rFonts w:ascii="Times New Roman" w:hAnsi="Times New Roman" w:cs="Times New Roman"/>
                <w:color w:val="000000"/>
                <w:sz w:val="24"/>
                <w:szCs w:val="24"/>
              </w:rPr>
              <w:t>,</w:t>
            </w:r>
            <w:r w:rsidRPr="002D10A5">
              <w:rPr>
                <w:rFonts w:ascii="Times New Roman" w:hAnsi="Times New Roman" w:cs="Times New Roman"/>
                <w:color w:val="000000"/>
                <w:sz w:val="24"/>
                <w:szCs w:val="24"/>
              </w:rPr>
              <w:t xml:space="preserve"> 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133</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172,28</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60,23</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130,2</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2,86</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2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Socialinės rizikos šeimų 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7,82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3,36</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8,5</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2,33</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Ilgalaikio nedarbo lygis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236</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4,26</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2,52</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0,6</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9</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1,69</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Gyventojų skaičiaus pokytis (1 000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-25</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-18,22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-11,26</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-21,7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-5,5</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1,62</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02"/>
        </w:trPr>
        <w:tc>
          <w:tcPr>
            <w:tcW w:w="14332" w:type="dxa"/>
            <w:gridSpan w:val="7"/>
            <w:tcBorders>
              <w:top w:val="single" w:sz="4" w:space="0" w:color="auto"/>
              <w:left w:val="single" w:sz="4" w:space="0" w:color="auto"/>
              <w:bottom w:val="single" w:sz="4" w:space="0" w:color="auto"/>
              <w:right w:val="single" w:sz="4" w:space="0" w:color="000000"/>
            </w:tcBorders>
            <w:shd w:val="clear" w:color="auto" w:fill="F2DBDB"/>
            <w:noWrap/>
          </w:tcPr>
          <w:p w:rsidR="00236CDA" w:rsidRPr="002D10A5" w:rsidRDefault="00236CD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1.</w:t>
            </w:r>
            <w:r w:rsidRPr="002D10A5">
              <w:rPr>
                <w:rFonts w:ascii="Times New Roman" w:hAnsi="Times New Roman" w:cs="Times New Roman"/>
                <w:b/>
                <w:bCs/>
                <w:color w:val="000000"/>
                <w:sz w:val="24"/>
                <w:szCs w:val="24"/>
                <w:shd w:val="clear" w:color="auto" w:fill="F2DBDB"/>
              </w:rPr>
              <w:t>2. Sumažinti socialinę ekonominę gyventojų diferenciaciją šalies ir bendruomenių lygmeniu</w:t>
            </w:r>
          </w:p>
        </w:tc>
        <w:tc>
          <w:tcPr>
            <w:tcW w:w="960" w:type="dxa"/>
            <w:tcBorders>
              <w:top w:val="nil"/>
              <w:left w:val="nil"/>
              <w:bottom w:val="nil"/>
              <w:right w:val="nil"/>
            </w:tcBorders>
            <w:shd w:val="clear" w:color="auto" w:fill="F2DBDB"/>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Mirtingumas dėl išorinių priežasčių (V01–Y98) (100 000 gyventojų)</w:t>
            </w:r>
          </w:p>
        </w:tc>
        <w:tc>
          <w:tcPr>
            <w:tcW w:w="1418" w:type="dxa"/>
            <w:vMerge w:val="restart"/>
            <w:tcBorders>
              <w:top w:val="nil"/>
              <w:left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128,47</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sz w:val="24"/>
                <w:szCs w:val="24"/>
              </w:rPr>
            </w:pPr>
            <w:r w:rsidRPr="002D10A5">
              <w:rPr>
                <w:rFonts w:ascii="Times New Roman" w:hAnsi="Times New Roman" w:cs="Times New Roman"/>
                <w:sz w:val="24"/>
                <w:szCs w:val="24"/>
              </w:rPr>
              <w:t>110,43</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sz w:val="24"/>
                <w:szCs w:val="24"/>
              </w:rPr>
            </w:pPr>
            <w:r w:rsidRPr="002D10A5">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178,19</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1,16</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išorinių priežasčių rodiklis (V01–Y98)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146,92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109,75</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169,1</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1,34</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Mokinių, gaunančių nemokamą maitinimą mokyklose,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442</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378,91</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219,53</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106,8</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496,4</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1,73</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8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Socialinės pašalpos gavėjų 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698</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81,52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38,11</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89,5</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2,14</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07"/>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Sergamumas tuberkulioze (A15-A19) (100 000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81,75</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41,86</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115,8</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1,95</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D99795"/>
            <w:vAlign w:val="bottom"/>
          </w:tcPr>
          <w:p w:rsidR="00236CDA" w:rsidRPr="002D10A5" w:rsidRDefault="00236CD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 xml:space="preserve">2 tikslas. Sukurti sveikatai palankią fizinę darbo ir gyvenamąją aplinką </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vAlign w:val="bottom"/>
          </w:tcPr>
          <w:p w:rsidR="00236CDA" w:rsidRPr="002D10A5" w:rsidRDefault="00236CD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2.1. Kurti saugias darbo ir sveikas buities sąlygas, didinti prekių ir paslaugų vartotojų saugumą</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Asmenų, žuvusių ar sunkiai sužalotų dėl nelaimingų atsitikimų darbe, skaičius (10 000 darbingo amžiaus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1,85</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1,02</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1,81</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Susižalojimo dėl nukritimo atvejų skaičius (W00-W19)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65+ m. amžiaus grupėje (10 000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18</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116,24</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138,97</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83,9</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283,2</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0,84</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4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Darbingo amžiaus asmenų, pirmą kartą pripažintų neįgaliais, skaičius (10 000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58,39</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68,87</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44,8</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126,3</w:t>
            </w:r>
          </w:p>
        </w:tc>
        <w:tc>
          <w:tcPr>
            <w:tcW w:w="1276" w:type="dxa"/>
            <w:tcBorders>
              <w:top w:val="nil"/>
              <w:left w:val="nil"/>
              <w:bottom w:val="single" w:sz="4" w:space="0" w:color="auto"/>
              <w:right w:val="single" w:sz="4" w:space="0" w:color="auto"/>
            </w:tcBorders>
            <w:shd w:val="clear" w:color="000000" w:fill="00B05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0,85</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Sergamumas žarnyno infekcinėmis ligomis (A00-A08)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224</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45,14</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72,77</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7,3</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115,7</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0,62</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noWrap/>
          </w:tcPr>
          <w:p w:rsidR="00236CDA" w:rsidRPr="002D10A5" w:rsidRDefault="00236CD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2.2. Kurti palankias sąlygas saugiai leisti laisvalaikį</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dėl atsitiktinio paskendimo (W65-W74)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(100 000 gyventojų) </w:t>
            </w:r>
          </w:p>
        </w:tc>
        <w:tc>
          <w:tcPr>
            <w:tcW w:w="1418" w:type="dxa"/>
            <w:vMerge w:val="restart"/>
            <w:tcBorders>
              <w:top w:val="nil"/>
              <w:left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11,68</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5,03</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68,96</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1,91</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atsitiktinio paskendimo rodiklis (W65-W74)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10,28</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4,94</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18,1</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2,08</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dėl nukritimo rodiklis (W00-W19)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(100 000 gyventojų) </w:t>
            </w:r>
          </w:p>
        </w:tc>
        <w:tc>
          <w:tcPr>
            <w:tcW w:w="1418" w:type="dxa"/>
            <w:vMerge w:val="restart"/>
            <w:tcBorders>
              <w:top w:val="nil"/>
              <w:left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11,68</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13,56</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37,7</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0,86</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nukritimo rodiklis</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 (W00-W19)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12,35</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13,8</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37,7</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0,89</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vAlign w:val="bottom"/>
          </w:tcPr>
          <w:p w:rsidR="00236CDA" w:rsidRPr="002D10A5" w:rsidRDefault="00236CD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2.3. Mažinti avaringumą ir traumų kelių eismo įvykiuose skaičių</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dėl transporto įvykių rodiklis (V00-V99)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(100 000 gyventojų)</w:t>
            </w:r>
          </w:p>
        </w:tc>
        <w:tc>
          <w:tcPr>
            <w:tcW w:w="1418" w:type="dxa"/>
            <w:vMerge w:val="restart"/>
            <w:tcBorders>
              <w:top w:val="nil"/>
              <w:left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11,68</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10,57</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35,64</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1,11</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transporto įvykių (V00-V99)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15,63</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10,47</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30,2</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1,49</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Pėsčiųjų mirtingumas dėl transporto įvykių (V00-V09)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3,86</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10,8</w:t>
            </w:r>
          </w:p>
        </w:tc>
        <w:tc>
          <w:tcPr>
            <w:tcW w:w="1276" w:type="dxa"/>
            <w:tcBorders>
              <w:top w:val="nil"/>
              <w:left w:val="nil"/>
              <w:bottom w:val="single" w:sz="4" w:space="0" w:color="auto"/>
              <w:right w:val="single" w:sz="4" w:space="0" w:color="auto"/>
            </w:tcBorders>
            <w:shd w:val="clear" w:color="000000" w:fill="00B05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0,00</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02"/>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Transporto įvykiuose patirtų traumų (V00-V99) skaičius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9</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105,11</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65,68</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28,4</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151,9</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1,60</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75"/>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tcPr>
          <w:p w:rsidR="00236CDA" w:rsidRPr="002D10A5" w:rsidRDefault="00236CD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2.4. Mažinti oro, vandens ir dirvožemio užterštumą, triukšmą</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Į atmosferą iš stacionarių taršos šaltinių išmestų teršalų kiekis, tenkantis 1 kvadratiniam kilometrui/kg</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21300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40</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1010</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33395</w:t>
            </w:r>
          </w:p>
        </w:tc>
        <w:tc>
          <w:tcPr>
            <w:tcW w:w="1276" w:type="dxa"/>
            <w:tcBorders>
              <w:top w:val="nil"/>
              <w:left w:val="nil"/>
              <w:bottom w:val="single" w:sz="4" w:space="0" w:color="auto"/>
              <w:right w:val="single" w:sz="4" w:space="0" w:color="auto"/>
            </w:tcBorders>
            <w:shd w:val="clear" w:color="auto" w:fill="00B05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0,04</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7812" w:type="dxa"/>
            <w:gridSpan w:val="2"/>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9C6E78">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Viešai tiekiamo geriamojo vandens prieinamumas </w:t>
            </w:r>
          </w:p>
          <w:p w:rsidR="00236CDA" w:rsidRPr="002D10A5" w:rsidRDefault="00236CDA" w:rsidP="009C6E78">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vartotojams (proc.)</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61</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16"/>
                <w:szCs w:val="16"/>
              </w:rPr>
            </w:pPr>
            <w:r w:rsidRPr="002D10A5">
              <w:rPr>
                <w:rFonts w:ascii="Times New Roman" w:hAnsi="Times New Roman" w:cs="Times New Roman"/>
                <w:color w:val="000000"/>
                <w:sz w:val="16"/>
                <w:szCs w:val="16"/>
              </w:rPr>
              <w:t>Nėra duomenų</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960" w:type="dxa"/>
            <w:tcBorders>
              <w:top w:val="nil"/>
              <w:left w:val="nil"/>
              <w:bottom w:val="nil"/>
              <w:right w:val="single" w:sz="4" w:space="0" w:color="auto"/>
            </w:tcBorders>
            <w:noWrap/>
            <w:vAlign w:val="bottom"/>
          </w:tcPr>
          <w:p w:rsidR="00236CDA" w:rsidRPr="002D10A5" w:rsidRDefault="00236CDA" w:rsidP="00581760">
            <w:pPr>
              <w:spacing w:after="0" w:line="240" w:lineRule="auto"/>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 </w:t>
            </w:r>
          </w:p>
        </w:tc>
      </w:tr>
      <w:tr w:rsidR="00236CDA" w:rsidRPr="00C5221C">
        <w:trPr>
          <w:trHeight w:val="315"/>
        </w:trPr>
        <w:tc>
          <w:tcPr>
            <w:tcW w:w="7812" w:type="dxa"/>
            <w:gridSpan w:val="2"/>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9C6E78">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Nuotekų tvarkymo paslaugų prieinamumas vartotojams</w:t>
            </w:r>
          </w:p>
          <w:p w:rsidR="00236CDA" w:rsidRPr="002D10A5" w:rsidRDefault="00236CDA" w:rsidP="009C6E78">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 (proc.)</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16"/>
                <w:szCs w:val="16"/>
              </w:rPr>
              <w:t>Nėra duomenų</w:t>
            </w:r>
          </w:p>
        </w:tc>
        <w:tc>
          <w:tcPr>
            <w:tcW w:w="960" w:type="dxa"/>
            <w:tcBorders>
              <w:top w:val="nil"/>
              <w:left w:val="nil"/>
              <w:bottom w:val="nil"/>
              <w:right w:val="single" w:sz="4" w:space="0" w:color="auto"/>
            </w:tcBorders>
            <w:noWrap/>
            <w:vAlign w:val="bottom"/>
          </w:tcPr>
          <w:p w:rsidR="00236CDA" w:rsidRPr="002D10A5" w:rsidRDefault="00236CDA" w:rsidP="00581760">
            <w:pPr>
              <w:spacing w:after="0" w:line="240" w:lineRule="auto"/>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 </w:t>
            </w:r>
          </w:p>
        </w:tc>
      </w:tr>
      <w:tr w:rsidR="00236CDA" w:rsidRPr="00C5221C">
        <w:trPr>
          <w:trHeight w:val="315"/>
        </w:trPr>
        <w:tc>
          <w:tcPr>
            <w:tcW w:w="14332" w:type="dxa"/>
            <w:gridSpan w:val="7"/>
            <w:tcBorders>
              <w:top w:val="single" w:sz="4" w:space="0" w:color="auto"/>
              <w:left w:val="single" w:sz="4" w:space="0" w:color="auto"/>
              <w:bottom w:val="single" w:sz="4" w:space="0" w:color="auto"/>
              <w:right w:val="single" w:sz="4" w:space="0" w:color="000000"/>
            </w:tcBorders>
            <w:shd w:val="clear" w:color="000000" w:fill="E6B9B8"/>
            <w:vAlign w:val="bottom"/>
          </w:tcPr>
          <w:p w:rsidR="00236CDA" w:rsidRPr="002D10A5" w:rsidRDefault="00236CDA" w:rsidP="00147701">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 xml:space="preserve">3 tikslas. Formuoti sveiką gyvenseną ir jos kultūrą </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29"/>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tcPr>
          <w:p w:rsidR="00236CDA" w:rsidRPr="002D10A5" w:rsidRDefault="00236CDA" w:rsidP="00147701">
            <w:pPr>
              <w:spacing w:after="0"/>
              <w:rPr>
                <w:rFonts w:ascii="Times New Roman" w:hAnsi="Times New Roman" w:cs="Times New Roman"/>
                <w:color w:val="000000"/>
                <w:sz w:val="24"/>
                <w:szCs w:val="24"/>
              </w:rPr>
            </w:pPr>
            <w:r w:rsidRPr="002D10A5">
              <w:rPr>
                <w:rFonts w:ascii="Times New Roman" w:hAnsi="Times New Roman" w:cs="Times New Roman"/>
                <w:b/>
                <w:bCs/>
                <w:color w:val="000000"/>
                <w:sz w:val="24"/>
                <w:szCs w:val="24"/>
              </w:rPr>
              <w:t xml:space="preserve">3.1. Sumažinti alkoholinių gėrimų, tabako vartojimą, neteisėtą narkotinių ir psichotropinių medžiagų vartojimą ir prieinamumą </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noWrap/>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Mirtingumas dėl priežasčių, susijusių su narkotikų vartojimu (100 000 gyventojų)</w:t>
            </w:r>
          </w:p>
        </w:tc>
        <w:tc>
          <w:tcPr>
            <w:tcW w:w="1418" w:type="dxa"/>
            <w:vMerge w:val="restart"/>
            <w:tcBorders>
              <w:top w:val="nil"/>
              <w:left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11,68</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5,13</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19,9</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2,28</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mirtingumas dėl priežasčių, susijusių su narkotikų vartojimu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16,18</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5,22</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26,1</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3,10</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Mirtingumas dėl priežasčių, susijusių su alkoholio vartojimu (100 000 gyventojų)</w:t>
            </w:r>
          </w:p>
        </w:tc>
        <w:tc>
          <w:tcPr>
            <w:tcW w:w="1418" w:type="dxa"/>
            <w:vMerge w:val="restart"/>
            <w:tcBorders>
              <w:top w:val="nil"/>
              <w:left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25,2</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67,89</w:t>
            </w:r>
          </w:p>
        </w:tc>
        <w:tc>
          <w:tcPr>
            <w:tcW w:w="1276" w:type="dxa"/>
            <w:tcBorders>
              <w:top w:val="nil"/>
              <w:left w:val="nil"/>
              <w:bottom w:val="single" w:sz="4" w:space="0" w:color="auto"/>
              <w:right w:val="single" w:sz="4" w:space="0" w:color="auto"/>
            </w:tcBorders>
            <w:shd w:val="clear" w:color="000000" w:fill="00B05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0,00</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dėl priežasčių, susijusių su alkoholio vartojimu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24,87</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8,9</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64,3</w:t>
            </w:r>
          </w:p>
        </w:tc>
        <w:tc>
          <w:tcPr>
            <w:tcW w:w="1276" w:type="dxa"/>
            <w:tcBorders>
              <w:top w:val="nil"/>
              <w:left w:val="nil"/>
              <w:bottom w:val="single" w:sz="4" w:space="0" w:color="auto"/>
              <w:right w:val="single" w:sz="4" w:space="0" w:color="auto"/>
            </w:tcBorders>
            <w:shd w:val="clear" w:color="000000" w:fill="00B05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0,00</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Nusikalstamos veikos, susijusios su disponavimu narkotinėmis medžiagomis ir jų kontrabanda (nusikaltimai) (100 000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23,36</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65,65</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269,1</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0,36</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93"/>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Gyventojų skaičius, tenkantis vienai licencijai verstis mažmenine prekyba tabako gaminiais (asmenų skaičius)</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52</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164,66</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173,48</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120,4</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312,7</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0,95</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Gyventojų skaičius, tenkantis vienai licencijai verstis mažmenine prekyba alkoholiniais gėrimais</w:t>
            </w:r>
            <w:r>
              <w:rPr>
                <w:rFonts w:ascii="Times New Roman" w:hAnsi="Times New Roman" w:cs="Times New Roman"/>
                <w:color w:val="000000"/>
                <w:sz w:val="24"/>
                <w:szCs w:val="24"/>
              </w:rPr>
              <w:t xml:space="preserve"> </w:t>
            </w:r>
            <w:r w:rsidRPr="00325097">
              <w:rPr>
                <w:rFonts w:ascii="Times New Roman" w:hAnsi="Times New Roman" w:cs="Times New Roman"/>
                <w:color w:val="000000"/>
                <w:sz w:val="24"/>
                <w:szCs w:val="24"/>
              </w:rPr>
              <w:t>(asmenų skaičius)</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55</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155,68</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149,7</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82,9</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270,4</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1,04</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02"/>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vAlign w:val="center"/>
          </w:tcPr>
          <w:p w:rsidR="00236CDA" w:rsidRPr="002D10A5" w:rsidRDefault="00236CDA" w:rsidP="00E10A28">
            <w:pPr>
              <w:spacing w:after="0"/>
              <w:rPr>
                <w:rFonts w:ascii="Times New Roman" w:hAnsi="Times New Roman" w:cs="Times New Roman"/>
                <w:color w:val="000000"/>
                <w:sz w:val="24"/>
                <w:szCs w:val="24"/>
              </w:rPr>
            </w:pPr>
            <w:r w:rsidRPr="002D10A5">
              <w:rPr>
                <w:rFonts w:ascii="Times New Roman" w:hAnsi="Times New Roman" w:cs="Times New Roman"/>
                <w:b/>
                <w:bCs/>
                <w:color w:val="000000"/>
                <w:sz w:val="24"/>
                <w:szCs w:val="24"/>
              </w:rPr>
              <w:t>3.2. Skatinti sveikos mitybos įpročius</w:t>
            </w:r>
          </w:p>
        </w:tc>
        <w:tc>
          <w:tcPr>
            <w:tcW w:w="960" w:type="dxa"/>
            <w:tcBorders>
              <w:top w:val="nil"/>
              <w:left w:val="nil"/>
              <w:bottom w:val="nil"/>
              <w:right w:val="nil"/>
            </w:tcBorders>
            <w:noWrap/>
          </w:tcPr>
          <w:p w:rsidR="00236CDA" w:rsidRPr="002D10A5" w:rsidRDefault="00236CDA" w:rsidP="00581760">
            <w:pPr>
              <w:spacing w:after="0" w:line="240" w:lineRule="auto"/>
              <w:rPr>
                <w:color w:val="000000"/>
              </w:rPr>
            </w:pPr>
          </w:p>
        </w:tc>
      </w:tr>
      <w:tr w:rsidR="00236CDA" w:rsidRPr="00C5221C">
        <w:trPr>
          <w:trHeight w:val="433"/>
        </w:trPr>
        <w:tc>
          <w:tcPr>
            <w:tcW w:w="6394" w:type="dxa"/>
            <w:tcBorders>
              <w:top w:val="nil"/>
              <w:left w:val="single" w:sz="4" w:space="0" w:color="auto"/>
              <w:bottom w:val="single" w:sz="4" w:space="0" w:color="auto"/>
              <w:right w:val="single" w:sz="4" w:space="0" w:color="auto"/>
            </w:tcBorders>
            <w:shd w:val="clear" w:color="000000" w:fill="FDE9D9"/>
            <w:vAlign w:val="bottom"/>
          </w:tcPr>
          <w:p w:rsidR="00236CDA" w:rsidRPr="002D10A5" w:rsidRDefault="00236CDA" w:rsidP="00147701">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Kūdikių, išimtinai žindytų iki 6 mėn. amžiaus, dalis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14,81</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32,03</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10,6</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47,9</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0,46</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83"/>
        </w:trPr>
        <w:tc>
          <w:tcPr>
            <w:tcW w:w="14332" w:type="dxa"/>
            <w:gridSpan w:val="7"/>
            <w:tcBorders>
              <w:top w:val="single" w:sz="4" w:space="0" w:color="auto"/>
              <w:left w:val="single" w:sz="4" w:space="0" w:color="auto"/>
              <w:bottom w:val="single" w:sz="4" w:space="0" w:color="auto"/>
              <w:right w:val="single" w:sz="4" w:space="0" w:color="000000"/>
            </w:tcBorders>
            <w:shd w:val="clear" w:color="000000" w:fill="E6B9B8"/>
            <w:vAlign w:val="center"/>
          </w:tcPr>
          <w:p w:rsidR="00236CDA" w:rsidRPr="002D10A5" w:rsidRDefault="00236CDA" w:rsidP="0027360F">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4 tikslas. Užtikrinti kokybišką ir efektyvią sveikatos priežiūrą, orientuotą į gyventojų poreikius</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03"/>
        </w:trPr>
        <w:tc>
          <w:tcPr>
            <w:tcW w:w="14332" w:type="dxa"/>
            <w:gridSpan w:val="7"/>
            <w:tcBorders>
              <w:top w:val="single" w:sz="4" w:space="0" w:color="auto"/>
              <w:left w:val="single" w:sz="4" w:space="0" w:color="auto"/>
              <w:bottom w:val="single" w:sz="4" w:space="0" w:color="auto"/>
              <w:right w:val="single" w:sz="4" w:space="0" w:color="000000"/>
            </w:tcBorders>
            <w:shd w:val="clear" w:color="000000" w:fill="F2DDDC"/>
            <w:vAlign w:val="center"/>
          </w:tcPr>
          <w:p w:rsidR="00236CDA" w:rsidRPr="002D10A5" w:rsidRDefault="00236CDA" w:rsidP="0027360F">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4.1. Užtikrinti sveikatos sistemos tvarumą ir kokybę, plėtojant sveikatos technologijas, kurių efektyvumas pagrįstas mokslo įrodymais</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37"/>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Išvengiamų hospitalizacijų 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302</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35,27</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33,62</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20,9</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59,8</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1,05</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Išvengiamų hospitalizacijų dėl diabeto ir jo komplikacijų skaičius (1 000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54</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7,86</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6,94</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12</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1,13</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94"/>
        </w:trPr>
        <w:tc>
          <w:tcPr>
            <w:tcW w:w="14332" w:type="dxa"/>
            <w:gridSpan w:val="7"/>
            <w:tcBorders>
              <w:top w:val="single" w:sz="4" w:space="0" w:color="auto"/>
              <w:left w:val="single" w:sz="4" w:space="0" w:color="auto"/>
              <w:bottom w:val="single" w:sz="4" w:space="0" w:color="auto"/>
              <w:right w:val="single" w:sz="4" w:space="0" w:color="000000"/>
            </w:tcBorders>
            <w:shd w:val="clear" w:color="auto" w:fill="F2DBDB"/>
            <w:vAlign w:val="center"/>
          </w:tcPr>
          <w:p w:rsidR="00236CDA" w:rsidRPr="002D10A5" w:rsidRDefault="00236CDA" w:rsidP="00E10A28">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4.2. Plėtoti sveikatos infrastuktūrą ir gerinti sveikatos priežiūros paslaugų kokybę, saugą, prieinamumą ir į pacientą orientuotą sveikatos priežiūrą</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79"/>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Slaugytojų, tenkančių vienam gydytojui, skaičius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28</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2,33</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2,14</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1,54,1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4,3</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1,09</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Šeimos medicinos paslaugas teikiančių gydytojų skaičius</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 (10 000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9</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10,51</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7,1</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2,4</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11,2</w:t>
            </w:r>
          </w:p>
        </w:tc>
        <w:tc>
          <w:tcPr>
            <w:tcW w:w="1276" w:type="dxa"/>
            <w:tcBorders>
              <w:top w:val="nil"/>
              <w:left w:val="nil"/>
              <w:bottom w:val="single" w:sz="4" w:space="0" w:color="auto"/>
              <w:right w:val="single" w:sz="4" w:space="0" w:color="auto"/>
            </w:tcBorders>
            <w:shd w:val="clear" w:color="000000" w:fill="00B05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1,48</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Apsilankymų pas gydytojus skaičius, tenkantis vienam gyventojui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60081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7,02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8,34</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10,8</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0,84</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45"/>
        </w:trPr>
        <w:tc>
          <w:tcPr>
            <w:tcW w:w="7812" w:type="dxa"/>
            <w:gridSpan w:val="2"/>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Savivaldybei pavaldžių stacionarines asmens sveikatos priežiūr</w:t>
            </w:r>
            <w:r>
              <w:rPr>
                <w:rFonts w:ascii="Times New Roman" w:hAnsi="Times New Roman" w:cs="Times New Roman"/>
                <w:color w:val="000000"/>
                <w:sz w:val="24"/>
                <w:szCs w:val="24"/>
              </w:rPr>
              <w:t>o</w:t>
            </w:r>
            <w:r w:rsidRPr="002D10A5">
              <w:rPr>
                <w:rFonts w:ascii="Times New Roman" w:hAnsi="Times New Roman" w:cs="Times New Roman"/>
                <w:color w:val="000000"/>
                <w:sz w:val="24"/>
                <w:szCs w:val="24"/>
              </w:rPr>
              <w:t>s</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paslaugas teikiančių asmens sveikatos priežiūros įstaigų pacientų pasitenkinimo lygis (balais)</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16"/>
                <w:szCs w:val="16"/>
              </w:rPr>
            </w:pPr>
            <w:r w:rsidRPr="002D10A5">
              <w:rPr>
                <w:rFonts w:ascii="Times New Roman" w:hAnsi="Times New Roman" w:cs="Times New Roman"/>
                <w:color w:val="000000"/>
                <w:sz w:val="16"/>
                <w:szCs w:val="16"/>
              </w:rPr>
              <w:t>_</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18,77</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17,4</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20</w:t>
            </w:r>
          </w:p>
        </w:tc>
        <w:tc>
          <w:tcPr>
            <w:tcW w:w="2236" w:type="dxa"/>
            <w:gridSpan w:val="2"/>
            <w:tcBorders>
              <w:top w:val="nil"/>
              <w:left w:val="nil"/>
              <w:bottom w:val="nil"/>
              <w:right w:val="nil"/>
            </w:tcBorders>
            <w:shd w:val="clear" w:color="000000" w:fill="FFFFFF"/>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 </w:t>
            </w:r>
          </w:p>
        </w:tc>
      </w:tr>
      <w:tr w:rsidR="00236CDA" w:rsidRPr="00C5221C">
        <w:trPr>
          <w:trHeight w:val="577"/>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Sergamumas vaistams atsparia tuberkulioze (A15-A19)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(100 000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23,36</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3,68</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23,36</w:t>
            </w:r>
          </w:p>
        </w:tc>
        <w:tc>
          <w:tcPr>
            <w:tcW w:w="1276" w:type="dxa"/>
            <w:tcBorders>
              <w:top w:val="single" w:sz="4" w:space="0" w:color="auto"/>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6,35</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99"/>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Sergamumas ŽIV ir lytiškai plintančiomis ligomis (B20-B24, A50-A64) (10 000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1,17</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3,59</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27360F">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9</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0,32</w:t>
            </w:r>
          </w:p>
        </w:tc>
        <w:tc>
          <w:tcPr>
            <w:tcW w:w="960" w:type="dxa"/>
            <w:tcBorders>
              <w:top w:val="nil"/>
              <w:left w:val="nil"/>
              <w:bottom w:val="single" w:sz="4" w:space="0" w:color="auto"/>
              <w:right w:val="nil"/>
            </w:tcBorders>
            <w:noWrap/>
            <w:vAlign w:val="bottom"/>
          </w:tcPr>
          <w:p w:rsidR="00236CDA" w:rsidRPr="002D10A5" w:rsidRDefault="00236CDA" w:rsidP="00581760">
            <w:pPr>
              <w:spacing w:after="0" w:line="240" w:lineRule="auto"/>
              <w:rPr>
                <w:color w:val="000000"/>
              </w:rPr>
            </w:pPr>
          </w:p>
        </w:tc>
      </w:tr>
      <w:tr w:rsidR="00236CDA" w:rsidRPr="00C5221C">
        <w:trPr>
          <w:trHeight w:val="579"/>
        </w:trPr>
        <w:tc>
          <w:tcPr>
            <w:tcW w:w="14332" w:type="dxa"/>
            <w:gridSpan w:val="7"/>
            <w:tcBorders>
              <w:top w:val="single" w:sz="4" w:space="0" w:color="auto"/>
              <w:left w:val="single" w:sz="4" w:space="0" w:color="auto"/>
              <w:bottom w:val="single" w:sz="4" w:space="0" w:color="auto"/>
              <w:right w:val="single" w:sz="4" w:space="0" w:color="auto"/>
            </w:tcBorders>
            <w:shd w:val="clear" w:color="auto" w:fill="E5B8B7"/>
            <w:vAlign w:val="center"/>
          </w:tcPr>
          <w:p w:rsidR="00236CDA" w:rsidRPr="002D10A5" w:rsidRDefault="00236CDA" w:rsidP="00E10A28">
            <w:pPr>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4.3. Pagerinti motinos ir vaiko sveikatą</w:t>
            </w:r>
          </w:p>
        </w:tc>
        <w:tc>
          <w:tcPr>
            <w:tcW w:w="960" w:type="dxa"/>
            <w:tcBorders>
              <w:top w:val="single" w:sz="4" w:space="0" w:color="auto"/>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Kūdikių (vaikų iki 1 m. amžiaus) mirtingumas 1 000 gyvų</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gimusių kūdikių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4,19</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14,9</w:t>
            </w:r>
          </w:p>
        </w:tc>
        <w:tc>
          <w:tcPr>
            <w:tcW w:w="1276" w:type="dxa"/>
            <w:tcBorders>
              <w:top w:val="nil"/>
              <w:left w:val="nil"/>
              <w:bottom w:val="single" w:sz="4" w:space="0" w:color="auto"/>
              <w:right w:val="single" w:sz="4" w:space="0" w:color="auto"/>
            </w:tcBorders>
            <w:shd w:val="clear" w:color="000000" w:fill="00B05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0,00</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2 metų amžiaus vaikų MMR1 (tymų, epideminio parotito, raudonukės vakcina, 1 dozė) (proc.)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AF2E20">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92,16</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94,15</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87,2</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0,98</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 metų amžiaus vaikų DTP3 (difterijos, stabligės, kokliušo vakcina, 3 dozės) skiepijimo apimtys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38</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95</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93,48</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81,7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1,02</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0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Tikslinės populiacijos (6-14 m.) dalis, dalyvavusi vaikų krūminių dantų dengimo silantinėmis medžiagomis programoje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153</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21,12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19,98</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6,9</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64,8</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1,06</w:t>
            </w:r>
          </w:p>
        </w:tc>
        <w:tc>
          <w:tcPr>
            <w:tcW w:w="960" w:type="dxa"/>
            <w:tcBorders>
              <w:top w:val="nil"/>
              <w:left w:val="nil"/>
              <w:bottom w:val="nil"/>
              <w:right w:val="nil"/>
            </w:tcBorders>
            <w:noWrap/>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Mokinių dantų ėduonies intensyvumo indeksas</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0,39</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2,05</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3,44</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8,3</w:t>
            </w:r>
          </w:p>
        </w:tc>
        <w:tc>
          <w:tcPr>
            <w:tcW w:w="1276" w:type="dxa"/>
            <w:tcBorders>
              <w:top w:val="nil"/>
              <w:left w:val="nil"/>
              <w:bottom w:val="single" w:sz="4" w:space="0" w:color="auto"/>
              <w:right w:val="single" w:sz="4" w:space="0" w:color="auto"/>
            </w:tcBorders>
            <w:shd w:val="clear" w:color="000000" w:fill="00B05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0,60</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21"/>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Paauglių (15–17 m.) gimdymų skaičius (1000 gyventojų)</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5,85</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17,3</w:t>
            </w:r>
          </w:p>
        </w:tc>
        <w:tc>
          <w:tcPr>
            <w:tcW w:w="1276" w:type="dxa"/>
            <w:tcBorders>
              <w:top w:val="nil"/>
              <w:left w:val="nil"/>
              <w:bottom w:val="single" w:sz="4" w:space="0" w:color="auto"/>
              <w:right w:val="single" w:sz="4" w:space="0" w:color="auto"/>
            </w:tcBorders>
            <w:shd w:val="clear" w:color="000000" w:fill="00B05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0,00</w:t>
            </w:r>
          </w:p>
        </w:tc>
        <w:tc>
          <w:tcPr>
            <w:tcW w:w="960" w:type="dxa"/>
            <w:vMerge w:val="restart"/>
            <w:tcBorders>
              <w:top w:val="nil"/>
              <w:left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499"/>
        </w:trPr>
        <w:tc>
          <w:tcPr>
            <w:tcW w:w="14332" w:type="dxa"/>
            <w:gridSpan w:val="7"/>
            <w:tcBorders>
              <w:top w:val="single" w:sz="4" w:space="0" w:color="auto"/>
              <w:left w:val="single" w:sz="4" w:space="0" w:color="auto"/>
              <w:bottom w:val="single" w:sz="4" w:space="0" w:color="auto"/>
              <w:right w:val="single" w:sz="4" w:space="0" w:color="auto"/>
            </w:tcBorders>
            <w:shd w:val="clear" w:color="auto" w:fill="E5B8B7"/>
            <w:vAlign w:val="center"/>
          </w:tcPr>
          <w:p w:rsidR="00236CDA" w:rsidRPr="002D10A5" w:rsidRDefault="00236CDA" w:rsidP="00E10A28">
            <w:pPr>
              <w:tabs>
                <w:tab w:val="left" w:pos="12987"/>
              </w:tabs>
              <w:spacing w:after="0"/>
              <w:rPr>
                <w:rFonts w:ascii="Times New Roman" w:hAnsi="Times New Roman" w:cs="Times New Roman"/>
                <w:b/>
                <w:bCs/>
                <w:color w:val="000000"/>
                <w:sz w:val="24"/>
                <w:szCs w:val="24"/>
              </w:rPr>
            </w:pPr>
            <w:r w:rsidRPr="002D10A5">
              <w:rPr>
                <w:rFonts w:ascii="Times New Roman" w:hAnsi="Times New Roman" w:cs="Times New Roman"/>
                <w:b/>
                <w:bCs/>
                <w:color w:val="000000"/>
                <w:sz w:val="24"/>
                <w:szCs w:val="24"/>
              </w:rPr>
              <w:t>4.4. Stiprinti lėtinių neinfekcinių ligų prevenciją ir kontrolę</w:t>
            </w:r>
          </w:p>
        </w:tc>
        <w:tc>
          <w:tcPr>
            <w:tcW w:w="960" w:type="dxa"/>
            <w:vMerge/>
            <w:tcBorders>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nuo kraujotakos sistemos ligų rodiklis (I00-I99) (100 000 gyventojų) </w:t>
            </w:r>
          </w:p>
        </w:tc>
        <w:tc>
          <w:tcPr>
            <w:tcW w:w="1418" w:type="dxa"/>
            <w:vMerge w:val="restart"/>
            <w:tcBorders>
              <w:top w:val="nil"/>
              <w:left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72</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840,88</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811,97</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372,94</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1484,01</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1,04</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Standartizuotas mirtingumo nuo kraujotakos sistemos ligų</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rodiklis (I00-I99) (100 000 gyventojų)</w:t>
            </w:r>
          </w:p>
        </w:tc>
        <w:tc>
          <w:tcPr>
            <w:tcW w:w="1418" w:type="dxa"/>
            <w:vMerge/>
            <w:tcBorders>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888,12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831,46</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687,5</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1160,5</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1,07</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nuo piktybinių navikų rodiklis (C00-C97)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(100 000 gyventojų)</w:t>
            </w:r>
          </w:p>
        </w:tc>
        <w:tc>
          <w:tcPr>
            <w:tcW w:w="1418" w:type="dxa"/>
            <w:vMerge w:val="restart"/>
            <w:tcBorders>
              <w:top w:val="nil"/>
              <w:left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32</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373,72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287,38</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205,1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398,42</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1,30</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Standartizuotas mirtingumo nuo piktybinių navikų rodiklis (C00-C97) (100 000 gyventojų) </w:t>
            </w:r>
          </w:p>
        </w:tc>
        <w:tc>
          <w:tcPr>
            <w:tcW w:w="1418" w:type="dxa"/>
            <w:vMerge/>
            <w:tcBorders>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376,58</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287,93</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233,1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357,1</w:t>
            </w:r>
          </w:p>
        </w:tc>
        <w:tc>
          <w:tcPr>
            <w:tcW w:w="1276" w:type="dxa"/>
            <w:tcBorders>
              <w:top w:val="nil"/>
              <w:left w:val="nil"/>
              <w:bottom w:val="single" w:sz="4" w:space="0" w:color="auto"/>
              <w:right w:val="single" w:sz="4" w:space="0" w:color="auto"/>
            </w:tcBorders>
            <w:shd w:val="clear" w:color="000000" w:fill="FF00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1,31</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315"/>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Mirtingumas nuo cerebrovaskulinių ligų  rodiklis (I60-I69) </w:t>
            </w:r>
          </w:p>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(100 000 gyventojų) </w:t>
            </w:r>
          </w:p>
        </w:tc>
        <w:tc>
          <w:tcPr>
            <w:tcW w:w="1418" w:type="dxa"/>
            <w:vMerge w:val="restart"/>
            <w:tcBorders>
              <w:top w:val="nil"/>
              <w:left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13</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151,82</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196,01</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67,81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500,75</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0,77</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6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Standartizuotas mirtingumo nuo cerebrovaskulinių ligų rodiklis (I60-I69) (100 000 gyventojų) </w:t>
            </w:r>
          </w:p>
        </w:tc>
        <w:tc>
          <w:tcPr>
            <w:tcW w:w="1418" w:type="dxa"/>
            <w:vMerge/>
            <w:tcBorders>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166,33</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202,52</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123,9</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436,3</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1,05</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56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Sergamumas II tipo cukriniu diabetu (E11) (10 000 gyventojų)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28</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32,7</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42,6</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19,7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71,8</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0,77</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696"/>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Tikslinės populiacijos dalis, dalyvavusi atrankinės mamografinės patikros dėl krūties vėžio finansavimo programoje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653DF7">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497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42,03</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48,4</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18,2</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73,6</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0,87</w:t>
            </w:r>
          </w:p>
        </w:tc>
        <w:tc>
          <w:tcPr>
            <w:tcW w:w="960" w:type="dxa"/>
            <w:tcBorders>
              <w:top w:val="nil"/>
              <w:left w:val="nil"/>
              <w:bottom w:val="nil"/>
              <w:right w:val="nil"/>
            </w:tcBorders>
            <w:noWrap/>
          </w:tcPr>
          <w:p w:rsidR="00236CDA" w:rsidRPr="002D10A5" w:rsidRDefault="00236CDA" w:rsidP="00581760">
            <w:pPr>
              <w:spacing w:after="0" w:line="240" w:lineRule="auto"/>
              <w:rPr>
                <w:color w:val="000000"/>
              </w:rPr>
            </w:pPr>
          </w:p>
        </w:tc>
      </w:tr>
      <w:tr w:rsidR="00236CDA" w:rsidRPr="00C5221C">
        <w:trPr>
          <w:trHeight w:val="85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Tikslinės populiacijos dalis, dalyvavusi gimdos kaklelio piktybinių navikų prevencinių priemonių, apmokamų iš Privalomojo sveikatos draudimo biudžeto lėšų, finansavimo programoje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794</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40,1</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50,24</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31,3</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70</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0,80</w:t>
            </w:r>
          </w:p>
        </w:tc>
        <w:tc>
          <w:tcPr>
            <w:tcW w:w="960" w:type="dxa"/>
            <w:tcBorders>
              <w:top w:val="nil"/>
              <w:left w:val="nil"/>
              <w:bottom w:val="nil"/>
              <w:right w:val="nil"/>
            </w:tcBorders>
            <w:noWrap/>
          </w:tcPr>
          <w:p w:rsidR="00236CDA" w:rsidRPr="002D10A5" w:rsidRDefault="00236CDA" w:rsidP="00581760">
            <w:pPr>
              <w:spacing w:after="0" w:line="240" w:lineRule="auto"/>
              <w:rPr>
                <w:color w:val="000000"/>
              </w:rPr>
            </w:pPr>
          </w:p>
        </w:tc>
      </w:tr>
      <w:tr w:rsidR="00236CDA" w:rsidRPr="00C5221C">
        <w:trPr>
          <w:trHeight w:val="63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Tikslinės populiacijos dalis, dalyvavusi storosios žarnos vėžio ankstyvosios diagnostikos finansavimo programoje  (proc.)</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1071</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41,07</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50,44</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16,7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71,9</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0,81</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r w:rsidR="00236CDA" w:rsidRPr="00C5221C">
        <w:trPr>
          <w:trHeight w:val="1050"/>
        </w:trPr>
        <w:tc>
          <w:tcPr>
            <w:tcW w:w="6394"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27360F">
            <w:pPr>
              <w:spacing w:after="0"/>
              <w:rPr>
                <w:rFonts w:ascii="Times New Roman" w:hAnsi="Times New Roman" w:cs="Times New Roman"/>
                <w:color w:val="000000"/>
                <w:sz w:val="24"/>
                <w:szCs w:val="24"/>
              </w:rPr>
            </w:pPr>
            <w:r w:rsidRPr="002D10A5">
              <w:rPr>
                <w:rFonts w:ascii="Times New Roman" w:hAnsi="Times New Roman" w:cs="Times New Roman"/>
                <w:color w:val="000000"/>
                <w:sz w:val="24"/>
                <w:szCs w:val="24"/>
              </w:rPr>
              <w:t xml:space="preserve">Tikslinės populiacijos dalis, dalyvavusi asmenų, priskirtinų širdies ir kraujagyslių ligų didelės rizikos grupei, atrankos ir prevencijos priemonių finansavimo programoje (proc.) </w:t>
            </w:r>
          </w:p>
        </w:tc>
        <w:tc>
          <w:tcPr>
            <w:tcW w:w="1418" w:type="dxa"/>
            <w:tcBorders>
              <w:top w:val="nil"/>
              <w:left w:val="single" w:sz="4" w:space="0" w:color="auto"/>
              <w:bottom w:val="single" w:sz="4" w:space="0" w:color="auto"/>
              <w:right w:val="single" w:sz="4" w:space="0" w:color="auto"/>
            </w:tcBorders>
            <w:shd w:val="clear" w:color="000000" w:fill="FDE9D9"/>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787</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39</w:t>
            </w:r>
          </w:p>
        </w:tc>
        <w:tc>
          <w:tcPr>
            <w:tcW w:w="1134"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37,42</w:t>
            </w:r>
          </w:p>
        </w:tc>
        <w:tc>
          <w:tcPr>
            <w:tcW w:w="1276"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DE9D9"/>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54,1</w:t>
            </w:r>
          </w:p>
        </w:tc>
        <w:tc>
          <w:tcPr>
            <w:tcW w:w="1276" w:type="dxa"/>
            <w:tcBorders>
              <w:top w:val="nil"/>
              <w:left w:val="nil"/>
              <w:bottom w:val="single" w:sz="4" w:space="0" w:color="auto"/>
              <w:right w:val="single" w:sz="4" w:space="0" w:color="auto"/>
            </w:tcBorders>
            <w:shd w:val="clear" w:color="000000" w:fill="FFFF00"/>
            <w:noWrap/>
            <w:vAlign w:val="center"/>
          </w:tcPr>
          <w:p w:rsidR="00236CDA" w:rsidRPr="002D10A5" w:rsidRDefault="00236CDA" w:rsidP="00147701">
            <w:pPr>
              <w:spacing w:after="0"/>
              <w:jc w:val="center"/>
              <w:rPr>
                <w:rFonts w:ascii="Times New Roman" w:hAnsi="Times New Roman" w:cs="Times New Roman"/>
                <w:color w:val="000000"/>
                <w:sz w:val="24"/>
                <w:szCs w:val="24"/>
              </w:rPr>
            </w:pPr>
            <w:r w:rsidRPr="002D10A5">
              <w:rPr>
                <w:rFonts w:ascii="Times New Roman" w:hAnsi="Times New Roman" w:cs="Times New Roman"/>
                <w:color w:val="000000"/>
                <w:sz w:val="24"/>
                <w:szCs w:val="24"/>
              </w:rPr>
              <w:t>1,04</w:t>
            </w:r>
          </w:p>
        </w:tc>
        <w:tc>
          <w:tcPr>
            <w:tcW w:w="960" w:type="dxa"/>
            <w:tcBorders>
              <w:top w:val="nil"/>
              <w:left w:val="nil"/>
              <w:bottom w:val="nil"/>
              <w:right w:val="nil"/>
            </w:tcBorders>
            <w:noWrap/>
            <w:vAlign w:val="bottom"/>
          </w:tcPr>
          <w:p w:rsidR="00236CDA" w:rsidRPr="002D10A5" w:rsidRDefault="00236CDA" w:rsidP="00581760">
            <w:pPr>
              <w:spacing w:after="0" w:line="240" w:lineRule="auto"/>
              <w:rPr>
                <w:color w:val="000000"/>
              </w:rPr>
            </w:pPr>
          </w:p>
        </w:tc>
      </w:tr>
    </w:tbl>
    <w:p w:rsidR="00236CDA" w:rsidRPr="002D10A5" w:rsidRDefault="00236CDA" w:rsidP="001573FA">
      <w:pPr>
        <w:jc w:val="center"/>
        <w:rPr>
          <w:rFonts w:ascii="Times New Roman" w:hAnsi="Times New Roman" w:cs="Times New Roman"/>
          <w:i/>
          <w:iCs/>
          <w:sz w:val="24"/>
          <w:szCs w:val="24"/>
        </w:rPr>
      </w:pPr>
      <w:r w:rsidRPr="002D10A5">
        <w:rPr>
          <w:rFonts w:ascii="Times New Roman" w:hAnsi="Times New Roman" w:cs="Times New Roman"/>
          <w:i/>
          <w:iCs/>
          <w:sz w:val="24"/>
          <w:szCs w:val="24"/>
        </w:rPr>
        <w:t>Šaltiniai: HISIC, HFA, Lietuvos statistikos departamento oficialiosios statistikos portalas</w:t>
      </w:r>
    </w:p>
    <w:p w:rsidR="00236CDA" w:rsidRDefault="00236CDA" w:rsidP="00730036">
      <w:pPr>
        <w:jc w:val="center"/>
        <w:sectPr w:rsidR="00236CDA" w:rsidSect="00713111">
          <w:pgSz w:w="15840" w:h="12240" w:orient="landscape"/>
          <w:pgMar w:top="567" w:right="1134" w:bottom="1418" w:left="1134" w:header="709" w:footer="709" w:gutter="0"/>
          <w:cols w:space="708"/>
          <w:docGrid w:linePitch="360"/>
        </w:sectPr>
      </w:pPr>
      <w:bookmarkStart w:id="1" w:name="_GoBack"/>
      <w:bookmarkEnd w:id="1"/>
    </w:p>
    <w:p w:rsidR="00236CDA" w:rsidRPr="00361CF7" w:rsidRDefault="00236CDA" w:rsidP="00730036">
      <w:pPr>
        <w:jc w:val="center"/>
        <w:rPr>
          <w:rFonts w:ascii="Times New Roman" w:hAnsi="Times New Roman" w:cs="Times New Roman"/>
          <w:b/>
          <w:bCs/>
          <w:sz w:val="24"/>
          <w:szCs w:val="24"/>
        </w:rPr>
      </w:pPr>
      <w:r w:rsidRPr="00361CF7">
        <w:rPr>
          <w:rFonts w:ascii="Times New Roman" w:hAnsi="Times New Roman" w:cs="Times New Roman"/>
          <w:b/>
          <w:bCs/>
          <w:sz w:val="24"/>
          <w:szCs w:val="24"/>
        </w:rPr>
        <w:t>2. SPECIALIOJI DALIS</w:t>
      </w:r>
    </w:p>
    <w:p w:rsidR="00236CDA" w:rsidRPr="002D10A5" w:rsidRDefault="00236CDA" w:rsidP="003928AC">
      <w:pPr>
        <w:pStyle w:val="ListParagraph"/>
        <w:spacing w:after="0"/>
        <w:ind w:left="0"/>
        <w:jc w:val="center"/>
        <w:rPr>
          <w:rFonts w:ascii="Times New Roman" w:hAnsi="Times New Roman" w:cs="Times New Roman"/>
          <w:b/>
          <w:bCs/>
          <w:sz w:val="24"/>
          <w:szCs w:val="24"/>
        </w:rPr>
      </w:pPr>
    </w:p>
    <w:p w:rsidR="00236CDA" w:rsidRPr="002D10A5" w:rsidRDefault="00236CDA" w:rsidP="00850C3D">
      <w:pPr>
        <w:pStyle w:val="ListParagraph"/>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Šioje dalyje analizuojamos specifinės problemos ir rodikliai, kurie Pagėgių savivaldybėje turi ekstremalias reikšmes lyginant su kitomis savivaldybėmis.</w:t>
      </w:r>
    </w:p>
    <w:p w:rsidR="00236CDA" w:rsidRPr="002D10A5" w:rsidRDefault="00236CDA" w:rsidP="00850C3D">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Remiantis Higienos instituto  Savivaldybių visuomenės sveikatos stebėsenos ataskaitos rašymo metodinėmis rekomendacijomis, įvertinus savivaldybės visuomenės sveikatos būklę, kasmet reikia išskirti po 3 prioritetines savivaldybės visuomenės sveikatos problemas. Išskirti problemines sritis galima keliais būdais:</w:t>
      </w:r>
    </w:p>
    <w:p w:rsidR="00236CDA" w:rsidRPr="002D10A5" w:rsidRDefault="00236CDA" w:rsidP="00850C3D">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1. Vertinant, kurios savivaldybių reikšmės yra blogiausios </w:t>
      </w:r>
      <w:r>
        <w:rPr>
          <w:rFonts w:ascii="Times New Roman" w:hAnsi="Times New Roman" w:cs="Times New Roman"/>
          <w:sz w:val="24"/>
          <w:szCs w:val="24"/>
        </w:rPr>
        <w:t>Lietuvoje (t.y. raudonos zonos);</w:t>
      </w:r>
    </w:p>
    <w:p w:rsidR="00236CDA" w:rsidRPr="002D10A5" w:rsidRDefault="00236CDA" w:rsidP="00850C3D">
      <w:pPr>
        <w:spacing w:after="0"/>
        <w:ind w:firstLine="1021"/>
        <w:jc w:val="both"/>
        <w:rPr>
          <w:rFonts w:ascii="Times New Roman" w:hAnsi="Times New Roman" w:cs="Times New Roman"/>
          <w:sz w:val="24"/>
          <w:szCs w:val="24"/>
        </w:rPr>
      </w:pPr>
      <w:r>
        <w:rPr>
          <w:rFonts w:ascii="Times New Roman" w:hAnsi="Times New Roman" w:cs="Times New Roman"/>
          <w:sz w:val="24"/>
          <w:szCs w:val="24"/>
        </w:rPr>
        <w:t>2. Vertinant keleto metų pokytį;</w:t>
      </w:r>
    </w:p>
    <w:p w:rsidR="00236CDA" w:rsidRPr="002D10A5" w:rsidRDefault="00236CDA" w:rsidP="00850C3D">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3. Vertinant, kokios priemonės buvo daromos, ir kaip jos pakeitė situaciją.</w:t>
      </w:r>
    </w:p>
    <w:p w:rsidR="00236CDA" w:rsidRPr="002D10A5" w:rsidRDefault="00236CDA" w:rsidP="00850C3D">
      <w:pPr>
        <w:pStyle w:val="ListParagraph"/>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Pagėgių savivaldybės visuomenės sveikatos stebėsenos būklei apibūdinti buvo pasirinkta vertinti blogiausias savivaldybės reikšmes ir dviejų metų pokytį. Buvo atsižvelgta  į mažą gyventojų skaičių, didelis dėmesys </w:t>
      </w:r>
      <w:r>
        <w:rPr>
          <w:rFonts w:ascii="Times New Roman" w:hAnsi="Times New Roman" w:cs="Times New Roman"/>
          <w:sz w:val="24"/>
          <w:szCs w:val="24"/>
        </w:rPr>
        <w:t>skirtas</w:t>
      </w:r>
      <w:r w:rsidRPr="002D10A5">
        <w:rPr>
          <w:rFonts w:ascii="Times New Roman" w:hAnsi="Times New Roman" w:cs="Times New Roman"/>
          <w:sz w:val="24"/>
          <w:szCs w:val="24"/>
        </w:rPr>
        <w:t xml:space="preserve"> absoliučių skaičių vertinimui, kurie apibūdino pagrindinius sveikatos rodiklius. Pagrindinių rodiklių sąrašas ir jų reikšmės pristatytos Pagėgių savivaldybės Bendruomenės sveikatos tarybai</w:t>
      </w:r>
      <w:r>
        <w:rPr>
          <w:rFonts w:ascii="Times New Roman" w:hAnsi="Times New Roman" w:cs="Times New Roman"/>
          <w:sz w:val="24"/>
          <w:szCs w:val="24"/>
        </w:rPr>
        <w:t>. T</w:t>
      </w:r>
      <w:r w:rsidRPr="002D10A5">
        <w:rPr>
          <w:rFonts w:ascii="Times New Roman" w:hAnsi="Times New Roman" w:cs="Times New Roman"/>
          <w:sz w:val="24"/>
          <w:szCs w:val="24"/>
        </w:rPr>
        <w:t>arybos s</w:t>
      </w:r>
      <w:r>
        <w:rPr>
          <w:rFonts w:ascii="Times New Roman" w:hAnsi="Times New Roman" w:cs="Times New Roman"/>
          <w:sz w:val="24"/>
          <w:szCs w:val="24"/>
        </w:rPr>
        <w:t>iūlymu</w:t>
      </w:r>
      <w:r w:rsidRPr="002D10A5">
        <w:rPr>
          <w:rFonts w:ascii="Times New Roman" w:hAnsi="Times New Roman" w:cs="Times New Roman"/>
          <w:sz w:val="24"/>
          <w:szCs w:val="24"/>
        </w:rPr>
        <w:t xml:space="preserve"> išskirtos šios prioritetinės sritys:</w:t>
      </w:r>
    </w:p>
    <w:p w:rsidR="00236CDA" w:rsidRPr="002D10A5" w:rsidRDefault="00236CDA" w:rsidP="00C427A5">
      <w:pPr>
        <w:pStyle w:val="ListParagraph"/>
        <w:spacing w:after="0"/>
        <w:ind w:left="1021"/>
        <w:jc w:val="both"/>
        <w:rPr>
          <w:rFonts w:ascii="Times New Roman" w:hAnsi="Times New Roman" w:cs="Times New Roman"/>
          <w:sz w:val="24"/>
          <w:szCs w:val="24"/>
        </w:rPr>
      </w:pPr>
      <w:r w:rsidRPr="002D10A5">
        <w:rPr>
          <w:rFonts w:ascii="Times New Roman" w:hAnsi="Times New Roman" w:cs="Times New Roman"/>
          <w:sz w:val="24"/>
          <w:szCs w:val="24"/>
        </w:rPr>
        <w:t>1. Sergamumas tuberkulioze;</w:t>
      </w:r>
    </w:p>
    <w:p w:rsidR="00236CDA" w:rsidRPr="002D10A5" w:rsidRDefault="00236CDA" w:rsidP="00C427A5">
      <w:pPr>
        <w:pStyle w:val="ListParagraph"/>
        <w:spacing w:after="0"/>
        <w:ind w:left="1021"/>
        <w:jc w:val="both"/>
        <w:rPr>
          <w:rFonts w:ascii="Times New Roman" w:hAnsi="Times New Roman" w:cs="Times New Roman"/>
          <w:sz w:val="24"/>
          <w:szCs w:val="24"/>
        </w:rPr>
      </w:pPr>
      <w:r w:rsidRPr="002D10A5">
        <w:rPr>
          <w:rFonts w:ascii="Times New Roman" w:hAnsi="Times New Roman" w:cs="Times New Roman"/>
          <w:sz w:val="24"/>
          <w:szCs w:val="24"/>
        </w:rPr>
        <w:t>2. Išvengiamas mirtingumas;</w:t>
      </w:r>
    </w:p>
    <w:p w:rsidR="00236CDA" w:rsidRPr="002D10A5" w:rsidRDefault="00236CDA" w:rsidP="00C427A5">
      <w:pPr>
        <w:pStyle w:val="ListParagraph"/>
        <w:spacing w:after="0"/>
        <w:ind w:left="1021"/>
        <w:jc w:val="both"/>
        <w:rPr>
          <w:rFonts w:ascii="Times New Roman" w:hAnsi="Times New Roman" w:cs="Times New Roman"/>
          <w:sz w:val="24"/>
          <w:szCs w:val="24"/>
        </w:rPr>
      </w:pPr>
      <w:r w:rsidRPr="002D10A5">
        <w:rPr>
          <w:rFonts w:ascii="Times New Roman" w:hAnsi="Times New Roman" w:cs="Times New Roman"/>
          <w:sz w:val="24"/>
          <w:szCs w:val="24"/>
        </w:rPr>
        <w:t>3. Mirtingumas/standartizuotas mirtingumas nuo piktybinių navikų.</w:t>
      </w:r>
    </w:p>
    <w:p w:rsidR="00236CDA" w:rsidRPr="002D10A5" w:rsidRDefault="00236CDA" w:rsidP="00277BFE">
      <w:pPr>
        <w:spacing w:after="0"/>
        <w:jc w:val="both"/>
        <w:rPr>
          <w:rFonts w:ascii="Times New Roman" w:hAnsi="Times New Roman" w:cs="Times New Roman"/>
          <w:sz w:val="24"/>
          <w:szCs w:val="24"/>
        </w:rPr>
      </w:pPr>
    </w:p>
    <w:p w:rsidR="00236CDA" w:rsidRPr="002D10A5" w:rsidRDefault="00236CDA" w:rsidP="00277BFE">
      <w:pPr>
        <w:spacing w:after="0"/>
        <w:jc w:val="both"/>
        <w:rPr>
          <w:rFonts w:ascii="Times New Roman" w:hAnsi="Times New Roman" w:cs="Times New Roman"/>
          <w:sz w:val="24"/>
          <w:szCs w:val="24"/>
        </w:rPr>
      </w:pPr>
    </w:p>
    <w:p w:rsidR="00236CDA" w:rsidRPr="002D10A5" w:rsidRDefault="00236CDA" w:rsidP="003928AC">
      <w:pPr>
        <w:pStyle w:val="ListParagraph"/>
        <w:spacing w:after="0"/>
        <w:ind w:left="0"/>
        <w:jc w:val="center"/>
        <w:rPr>
          <w:rFonts w:ascii="Times New Roman" w:hAnsi="Times New Roman" w:cs="Times New Roman"/>
          <w:b/>
          <w:bCs/>
          <w:sz w:val="24"/>
          <w:szCs w:val="24"/>
        </w:rPr>
      </w:pPr>
      <w:r w:rsidRPr="002D10A5">
        <w:rPr>
          <w:rFonts w:ascii="Times New Roman" w:hAnsi="Times New Roman" w:cs="Times New Roman"/>
          <w:b/>
          <w:bCs/>
          <w:sz w:val="24"/>
          <w:szCs w:val="24"/>
        </w:rPr>
        <w:t>2.1. PAGĖGIŲ SAVIVALDYBĖS PRIORITETINIŲ PROBLEMŲ ANALIZĖ</w:t>
      </w:r>
    </w:p>
    <w:p w:rsidR="00236CDA" w:rsidRPr="002D10A5" w:rsidRDefault="00236CDA" w:rsidP="003928AC">
      <w:pPr>
        <w:pStyle w:val="ListParagraph"/>
        <w:spacing w:after="0"/>
        <w:ind w:left="0"/>
        <w:jc w:val="center"/>
        <w:rPr>
          <w:rFonts w:ascii="Times New Roman" w:hAnsi="Times New Roman" w:cs="Times New Roman"/>
          <w:b/>
          <w:bCs/>
          <w:sz w:val="24"/>
          <w:szCs w:val="24"/>
        </w:rPr>
      </w:pPr>
      <w:r w:rsidRPr="002D10A5">
        <w:rPr>
          <w:rFonts w:ascii="Times New Roman" w:hAnsi="Times New Roman" w:cs="Times New Roman"/>
          <w:b/>
          <w:bCs/>
          <w:sz w:val="24"/>
          <w:szCs w:val="24"/>
        </w:rPr>
        <w:t>2.1.1. SERGAMUMAS TUBERKULIOZE</w:t>
      </w:r>
    </w:p>
    <w:p w:rsidR="00236CDA" w:rsidRPr="002D10A5" w:rsidRDefault="00236CDA" w:rsidP="003928AC">
      <w:pPr>
        <w:pStyle w:val="ListParagraph"/>
        <w:spacing w:after="0"/>
        <w:ind w:left="0"/>
        <w:jc w:val="center"/>
        <w:rPr>
          <w:rFonts w:ascii="Times New Roman" w:hAnsi="Times New Roman" w:cs="Times New Roman"/>
          <w:sz w:val="24"/>
          <w:szCs w:val="24"/>
        </w:rPr>
      </w:pPr>
    </w:p>
    <w:p w:rsidR="00236CDA" w:rsidRPr="002D10A5" w:rsidRDefault="00236CDA" w:rsidP="003928AC">
      <w:pPr>
        <w:pStyle w:val="ListParagraph"/>
        <w:spacing w:after="0"/>
        <w:ind w:left="0"/>
        <w:jc w:val="center"/>
        <w:rPr>
          <w:rFonts w:ascii="Times New Roman" w:hAnsi="Times New Roman" w:cs="Times New Roman"/>
          <w:sz w:val="24"/>
          <w:szCs w:val="24"/>
        </w:rPr>
      </w:pPr>
    </w:p>
    <w:p w:rsidR="00236CDA" w:rsidRPr="002D10A5" w:rsidRDefault="00236CDA" w:rsidP="00C427A5">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Tuberkuliozė – visuomenei pavojinga infekcija, kadangi ligonių gydymas ir priežiūra užtrunka ilgai (6</w:t>
      </w:r>
      <w:r>
        <w:rPr>
          <w:rFonts w:ascii="Times New Roman" w:hAnsi="Times New Roman" w:cs="Times New Roman"/>
          <w:sz w:val="24"/>
          <w:szCs w:val="24"/>
        </w:rPr>
        <w:t>−</w:t>
      </w:r>
      <w:r w:rsidRPr="002D10A5">
        <w:rPr>
          <w:rFonts w:ascii="Times New Roman" w:hAnsi="Times New Roman" w:cs="Times New Roman"/>
          <w:sz w:val="24"/>
          <w:szCs w:val="24"/>
        </w:rPr>
        <w:t>24 mėn., o kartais ir ilgiau), be to valstybei brangiai kainuoja, nes ligoniai ilgai (apie 80 dienų) gydomi specializuotuose tuberkuliozės stacionaruose.  </w:t>
      </w:r>
    </w:p>
    <w:p w:rsidR="00236CDA" w:rsidRPr="002D10A5" w:rsidRDefault="00236CDA" w:rsidP="00C427A5">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Lietuvoje tuberkuliozės problema ypač aktuali. 2015 m. visose šalies savivaldybėse (išskyrus Neringos sav.) buvo užfiksuoti nauji sergamumo atvejai. Lietuvoje 2015 m. užregistruota 1 216 naujų tuberkuliozės atvejų (41,9/100 000 gyv.), iš jų net 7 nauji atvejai Pagėgių sav. (81,75/100 000 gyv.) (žr. 1 pav.). Šis Pagėgių sav. rodiklis vienas didžiausių Lietuvoje ir patenka į raudoną zoną.</w:t>
      </w:r>
    </w:p>
    <w:p w:rsidR="00236CDA" w:rsidRPr="002D10A5" w:rsidRDefault="00236CDA" w:rsidP="00277BFE">
      <w:pPr>
        <w:spacing w:after="0"/>
        <w:ind w:firstLine="1134"/>
        <w:jc w:val="both"/>
        <w:rPr>
          <w:rFonts w:ascii="Times New Roman" w:hAnsi="Times New Roman" w:cs="Times New Roman"/>
          <w:sz w:val="24"/>
          <w:szCs w:val="24"/>
        </w:rPr>
      </w:pPr>
    </w:p>
    <w:p w:rsidR="00236CDA" w:rsidRPr="002D10A5" w:rsidRDefault="00236CDA" w:rsidP="007152C2">
      <w:pPr>
        <w:spacing w:after="0"/>
        <w:jc w:val="center"/>
        <w:rPr>
          <w:rFonts w:ascii="Times New Roman" w:hAnsi="Times New Roman" w:cs="Times New Roman"/>
          <w:sz w:val="24"/>
          <w:szCs w:val="24"/>
        </w:rPr>
      </w:pPr>
      <w:r w:rsidRPr="00AB6F7C">
        <w:rPr>
          <w:rFonts w:ascii="Times New Roman" w:hAnsi="Times New Roman" w:cs="Times New Roman"/>
          <w:noProof/>
          <w:sz w:val="24"/>
          <w:szCs w:val="24"/>
          <w:lang w:eastAsia="lt-LT"/>
        </w:rPr>
        <w:pict>
          <v:shape id="Paveikslėlis 1" o:spid="_x0000_i1026" type="#_x0000_t75" style="width:334.5pt;height:241.5pt;visibility:visible">
            <v:imagedata r:id="rId11" o:title=""/>
          </v:shape>
        </w:pict>
      </w:r>
    </w:p>
    <w:p w:rsidR="00236CDA" w:rsidRPr="008E1CB2" w:rsidRDefault="00236CDA" w:rsidP="005155EC">
      <w:pPr>
        <w:spacing w:after="0" w:line="240" w:lineRule="auto"/>
        <w:jc w:val="center"/>
        <w:rPr>
          <w:rFonts w:ascii="Times New Roman" w:hAnsi="Times New Roman" w:cs="Times New Roman"/>
          <w:sz w:val="24"/>
          <w:szCs w:val="24"/>
        </w:rPr>
      </w:pPr>
      <w:r w:rsidRPr="008E1CB2">
        <w:rPr>
          <w:rFonts w:ascii="Times New Roman" w:hAnsi="Times New Roman" w:cs="Times New Roman"/>
          <w:sz w:val="24"/>
          <w:szCs w:val="24"/>
        </w:rPr>
        <w:t>1 pav. Sergamumas tuberkulioze (100 000 gyv.)</w:t>
      </w:r>
    </w:p>
    <w:p w:rsidR="00236CDA" w:rsidRPr="002D10A5" w:rsidRDefault="00236CDA" w:rsidP="005155EC">
      <w:pPr>
        <w:spacing w:after="0" w:line="240" w:lineRule="auto"/>
        <w:jc w:val="center"/>
        <w:rPr>
          <w:rFonts w:ascii="Times New Roman" w:hAnsi="Times New Roman" w:cs="Times New Roman"/>
          <w:i/>
          <w:iCs/>
          <w:sz w:val="24"/>
          <w:szCs w:val="24"/>
        </w:rPr>
      </w:pPr>
      <w:r w:rsidRPr="002D10A5">
        <w:rPr>
          <w:rFonts w:ascii="Times New Roman" w:hAnsi="Times New Roman" w:cs="Times New Roman"/>
          <w:i/>
          <w:iCs/>
          <w:sz w:val="24"/>
          <w:szCs w:val="24"/>
        </w:rPr>
        <w:t>Šaltinis: Tuberkuliozės registras</w:t>
      </w:r>
    </w:p>
    <w:p w:rsidR="00236CDA" w:rsidRPr="002D10A5" w:rsidRDefault="00236CDA" w:rsidP="005155EC">
      <w:pPr>
        <w:spacing w:after="0" w:line="240" w:lineRule="auto"/>
        <w:jc w:val="both"/>
        <w:rPr>
          <w:rFonts w:ascii="Times New Roman" w:hAnsi="Times New Roman" w:cs="Times New Roman"/>
          <w:i/>
          <w:iCs/>
          <w:sz w:val="24"/>
          <w:szCs w:val="24"/>
        </w:rPr>
      </w:pPr>
    </w:p>
    <w:p w:rsidR="00236CDA" w:rsidRPr="002D10A5" w:rsidRDefault="00236CDA" w:rsidP="005155EC">
      <w:pPr>
        <w:spacing w:after="0" w:line="240" w:lineRule="auto"/>
        <w:ind w:firstLine="1134"/>
        <w:jc w:val="center"/>
        <w:rPr>
          <w:rFonts w:ascii="Times New Roman" w:hAnsi="Times New Roman" w:cs="Times New Roman"/>
          <w:i/>
          <w:iCs/>
          <w:sz w:val="24"/>
          <w:szCs w:val="24"/>
        </w:rPr>
      </w:pPr>
    </w:p>
    <w:p w:rsidR="00236CDA" w:rsidRPr="002D10A5" w:rsidRDefault="00236CDA" w:rsidP="00C427A5">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Taip pat nerimą kelia atsparių vaistams tuberkuliozės mikobakterijų štamų gausėjimas. 2015 m. Lietuvoje registruoti 107 daugeliui vaistų atsparios tuberkuliozės atvejai (3,7/100 000 gyv.), iš jų 2 atvejai registruoti Pagėgių sav. (7,24/100 000 gyv.) (žr. 2 pav.). Šis rodiklis taip pat patenka į raudoną zoną.</w:t>
      </w:r>
    </w:p>
    <w:p w:rsidR="00236CDA" w:rsidRPr="002D10A5" w:rsidRDefault="00236CDA" w:rsidP="00C427A5">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Svarbu atkreipti dėmesį į kiekvieną sergamumo tuberkulioze atvejį, nes negydomas asmuo arba asmuo, kuris atsisako gydymo</w:t>
      </w:r>
      <w:r>
        <w:rPr>
          <w:rFonts w:ascii="Times New Roman" w:hAnsi="Times New Roman" w:cs="Times New Roman"/>
          <w:sz w:val="24"/>
          <w:szCs w:val="24"/>
        </w:rPr>
        <w:t>,</w:t>
      </w:r>
      <w:r w:rsidRPr="002D10A5">
        <w:rPr>
          <w:rFonts w:ascii="Times New Roman" w:hAnsi="Times New Roman" w:cs="Times New Roman"/>
          <w:sz w:val="24"/>
          <w:szCs w:val="24"/>
        </w:rPr>
        <w:t xml:space="preserve"> kenkia ne tik sau, o ir aplinkiniams.</w:t>
      </w:r>
    </w:p>
    <w:p w:rsidR="00236CDA" w:rsidRPr="002D10A5" w:rsidRDefault="00236CDA" w:rsidP="005155EC">
      <w:pPr>
        <w:spacing w:after="0"/>
        <w:ind w:firstLine="1134"/>
        <w:jc w:val="center"/>
        <w:rPr>
          <w:rFonts w:ascii="Times New Roman" w:hAnsi="Times New Roman" w:cs="Times New Roman"/>
          <w:b/>
          <w:bCs/>
          <w:sz w:val="24"/>
          <w:szCs w:val="24"/>
        </w:rPr>
      </w:pPr>
      <w:r w:rsidRPr="00AB6F7C">
        <w:rPr>
          <w:rFonts w:ascii="Times New Roman" w:hAnsi="Times New Roman" w:cs="Times New Roman"/>
          <w:noProof/>
          <w:sz w:val="24"/>
          <w:szCs w:val="24"/>
          <w:lang w:eastAsia="lt-LT"/>
        </w:rPr>
        <w:pict>
          <v:shape id="Paveikslėlis 2" o:spid="_x0000_i1027" type="#_x0000_t75" style="width:315pt;height:230.25pt;visibility:visible">
            <v:imagedata r:id="rId12" o:title=""/>
          </v:shape>
        </w:pict>
      </w:r>
      <w:r w:rsidRPr="002D10A5">
        <w:rPr>
          <w:rFonts w:ascii="Times New Roman" w:hAnsi="Times New Roman" w:cs="Times New Roman"/>
          <w:b/>
          <w:bCs/>
          <w:sz w:val="24"/>
          <w:szCs w:val="24"/>
        </w:rPr>
        <w:t xml:space="preserve"> </w:t>
      </w:r>
    </w:p>
    <w:p w:rsidR="00236CDA" w:rsidRPr="008E1CB2" w:rsidRDefault="00236CDA" w:rsidP="005155EC">
      <w:pPr>
        <w:spacing w:after="0"/>
        <w:ind w:firstLine="1134"/>
        <w:jc w:val="center"/>
        <w:rPr>
          <w:rFonts w:ascii="Times New Roman" w:hAnsi="Times New Roman" w:cs="Times New Roman"/>
          <w:sz w:val="24"/>
          <w:szCs w:val="24"/>
        </w:rPr>
      </w:pPr>
      <w:r w:rsidRPr="008E1CB2">
        <w:rPr>
          <w:rFonts w:ascii="Times New Roman" w:hAnsi="Times New Roman" w:cs="Times New Roman"/>
          <w:sz w:val="24"/>
          <w:szCs w:val="24"/>
        </w:rPr>
        <w:t>2 pav. Sergamumas daugeliui vaistų atsparia tuberkulioze (100 000 gyv.)</w:t>
      </w:r>
    </w:p>
    <w:p w:rsidR="00236CDA" w:rsidRPr="002D10A5" w:rsidRDefault="00236CDA" w:rsidP="005155EC">
      <w:pPr>
        <w:spacing w:after="0"/>
        <w:ind w:firstLine="1134"/>
        <w:jc w:val="center"/>
        <w:rPr>
          <w:rFonts w:ascii="Times New Roman" w:hAnsi="Times New Roman" w:cs="Times New Roman"/>
          <w:i/>
          <w:iCs/>
          <w:sz w:val="24"/>
          <w:szCs w:val="24"/>
        </w:rPr>
      </w:pPr>
      <w:r w:rsidRPr="002D10A5">
        <w:rPr>
          <w:rFonts w:ascii="Times New Roman" w:hAnsi="Times New Roman" w:cs="Times New Roman"/>
          <w:i/>
          <w:iCs/>
          <w:sz w:val="24"/>
          <w:szCs w:val="24"/>
        </w:rPr>
        <w:t>Šaltinis: Tuberkuliozės registras</w:t>
      </w:r>
    </w:p>
    <w:p w:rsidR="00236CDA" w:rsidRPr="002D10A5" w:rsidRDefault="00236CDA" w:rsidP="006802A9">
      <w:pPr>
        <w:spacing w:after="0"/>
        <w:jc w:val="center"/>
        <w:rPr>
          <w:rFonts w:ascii="Times New Roman" w:hAnsi="Times New Roman" w:cs="Times New Roman"/>
          <w:b/>
          <w:bCs/>
          <w:sz w:val="24"/>
          <w:szCs w:val="24"/>
        </w:rPr>
      </w:pPr>
      <w:r w:rsidRPr="002D10A5">
        <w:rPr>
          <w:rFonts w:ascii="Times New Roman" w:hAnsi="Times New Roman" w:cs="Times New Roman"/>
          <w:sz w:val="28"/>
          <w:szCs w:val="28"/>
        </w:rPr>
        <w:br w:type="page"/>
      </w:r>
      <w:r w:rsidRPr="002D10A5">
        <w:rPr>
          <w:rFonts w:ascii="Times New Roman" w:hAnsi="Times New Roman" w:cs="Times New Roman"/>
          <w:b/>
          <w:bCs/>
          <w:sz w:val="24"/>
          <w:szCs w:val="24"/>
        </w:rPr>
        <w:t>2.1.2. IŠVENGIAMAS MIRTINGUMAS</w:t>
      </w:r>
    </w:p>
    <w:p w:rsidR="00236CDA" w:rsidRPr="002D10A5" w:rsidRDefault="00236CDA" w:rsidP="00EB6B6A">
      <w:pPr>
        <w:spacing w:after="0"/>
        <w:ind w:firstLine="1134"/>
        <w:jc w:val="center"/>
        <w:rPr>
          <w:rFonts w:ascii="Times New Roman" w:hAnsi="Times New Roman" w:cs="Times New Roman"/>
          <w:b/>
          <w:bCs/>
          <w:sz w:val="24"/>
          <w:szCs w:val="24"/>
        </w:rPr>
      </w:pPr>
    </w:p>
    <w:p w:rsidR="00236CDA" w:rsidRPr="002D10A5" w:rsidRDefault="00236CDA" w:rsidP="00EB6B6A">
      <w:pPr>
        <w:spacing w:after="0"/>
        <w:ind w:firstLine="1134"/>
        <w:jc w:val="center"/>
        <w:rPr>
          <w:rFonts w:ascii="Times New Roman" w:hAnsi="Times New Roman" w:cs="Times New Roman"/>
          <w:b/>
          <w:bCs/>
          <w:sz w:val="24"/>
          <w:szCs w:val="24"/>
        </w:rPr>
      </w:pPr>
    </w:p>
    <w:p w:rsidR="00236CDA" w:rsidRPr="002D10A5" w:rsidRDefault="00236CDA" w:rsidP="006A5531">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 xml:space="preserve">Išvengiamas mirtingumas – tai mirusiųjų nuo ligų ar būklių, kurių galima išvengti taikant žinomas efektyvias prevencijos ir/ar diagnostikos priemones ir/ar gydymo priemones, dalis procentais nuo visų gyventojų mirčių. Išvengiama liga (būklė) – </w:t>
      </w:r>
      <w:r>
        <w:rPr>
          <w:rFonts w:ascii="Times New Roman" w:hAnsi="Times New Roman" w:cs="Times New Roman"/>
          <w:sz w:val="24"/>
          <w:szCs w:val="24"/>
        </w:rPr>
        <w:t xml:space="preserve">tai </w:t>
      </w:r>
      <w:r w:rsidRPr="002D10A5">
        <w:rPr>
          <w:rFonts w:ascii="Times New Roman" w:hAnsi="Times New Roman" w:cs="Times New Roman"/>
          <w:sz w:val="24"/>
          <w:szCs w:val="24"/>
        </w:rPr>
        <w:t>liga (būklė), kuri gali būti išvengta dėl visuomenės sveikatos intervencijų (pvz. prevencinės priemonės nukreiptos į rizikos faktorius, socioekonominę būklę, aplinkos veiksnius ir kt.). Pagydoma liga – liga, kuri gali būti išvengta (pagydyta) dėl optimalios sveikatos priežiūros kokybės. Išvengiamos mirties priežastys: tuberkuliozė (su padariniais), hepatitas C, ŽIV/AIDS, storosios, tiesiosios, riestinės žarnų, išangės ir išangės kanalo piktybiniai navikai, odos melanoma, krūties ir gimdos kaklelio piktybiniai navikai, cukrinis diabetas, išeminės širdies ligos, gripas (įskaitant kiaulių gripą), nelaimingi atsitikimai taikant chirurginę ar medicininę pagalbą, nenormalios reakcijos ar vėliau įvykusios komplikacijos ir kt.</w:t>
      </w:r>
    </w:p>
    <w:p w:rsidR="00236CDA" w:rsidRPr="002D10A5" w:rsidRDefault="00236CDA" w:rsidP="008549A6">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Remiantis išvengiamo mirtingumo rodiklio struktūra ir dėsningumais, galima kiekybiškai įvertinti pasiektus sveikatos priežiūros tikslus. Remiantis duomenimis apie išvengiamą mirtingumą, galima spręsti apie sveikatos priežiūros sistemos ir sveikatos politikos įtaką gyventojų sveikatai bei numatyti naujas ar tobulinti esamas veiksmų kryptis. Šie duomenys naudingi sveikatos siste</w:t>
      </w:r>
      <w:r>
        <w:rPr>
          <w:rFonts w:ascii="Times New Roman" w:hAnsi="Times New Roman" w:cs="Times New Roman"/>
          <w:sz w:val="24"/>
          <w:szCs w:val="24"/>
        </w:rPr>
        <w:t>moje dirbantiems specialistams</w:t>
      </w:r>
      <w:r w:rsidRPr="002D10A5">
        <w:rPr>
          <w:rFonts w:ascii="Times New Roman" w:hAnsi="Times New Roman" w:cs="Times New Roman"/>
          <w:sz w:val="24"/>
          <w:szCs w:val="24"/>
        </w:rPr>
        <w:t xml:space="preserve">, kadangi išvengiamo mirtingumo rodiklis netiesiogiai parodo sveikatos priežiūros sistemos efektyvumą ir kokybę. </w:t>
      </w:r>
    </w:p>
    <w:p w:rsidR="00236CDA" w:rsidRPr="002D10A5" w:rsidRDefault="00236CDA" w:rsidP="008549A6">
      <w:pPr>
        <w:spacing w:after="0"/>
        <w:ind w:firstLine="1134"/>
        <w:jc w:val="both"/>
        <w:rPr>
          <w:rFonts w:ascii="Times New Roman" w:hAnsi="Times New Roman" w:cs="Times New Roman"/>
          <w:sz w:val="24"/>
          <w:szCs w:val="24"/>
        </w:rPr>
      </w:pPr>
      <w:r w:rsidRPr="002D10A5">
        <w:rPr>
          <w:rFonts w:ascii="Times New Roman" w:hAnsi="Times New Roman" w:cs="Times New Roman"/>
          <w:sz w:val="24"/>
          <w:szCs w:val="24"/>
        </w:rPr>
        <w:t xml:space="preserve">Per 2015 m. Pagėgių savivaldybėje mirė 132 gyventojai, iš jų 49 (37,12 proc.) mirė dėl išvengiamo mirtingumo priežasčių, tačiau šios mirtys </w:t>
      </w:r>
      <w:r>
        <w:rPr>
          <w:rFonts w:ascii="Times New Roman" w:hAnsi="Times New Roman" w:cs="Times New Roman"/>
          <w:sz w:val="24"/>
          <w:szCs w:val="24"/>
        </w:rPr>
        <w:t>nebuvo išvengtos (žr. 3 pav.)</w:t>
      </w:r>
    </w:p>
    <w:p w:rsidR="00236CDA" w:rsidRPr="002D10A5" w:rsidRDefault="00236CDA" w:rsidP="008549A6">
      <w:pPr>
        <w:spacing w:after="0"/>
        <w:ind w:firstLine="1134"/>
        <w:jc w:val="both"/>
        <w:rPr>
          <w:rFonts w:ascii="Times New Roman" w:hAnsi="Times New Roman" w:cs="Times New Roman"/>
          <w:sz w:val="24"/>
          <w:szCs w:val="24"/>
        </w:rPr>
      </w:pPr>
    </w:p>
    <w:p w:rsidR="00236CDA" w:rsidRPr="002D10A5" w:rsidRDefault="00236CDA" w:rsidP="00393B75">
      <w:pPr>
        <w:spacing w:after="0"/>
        <w:ind w:firstLine="1134"/>
        <w:jc w:val="center"/>
        <w:rPr>
          <w:rFonts w:ascii="Times New Roman" w:hAnsi="Times New Roman" w:cs="Times New Roman"/>
          <w:sz w:val="24"/>
          <w:szCs w:val="24"/>
        </w:rPr>
      </w:pPr>
      <w:r w:rsidRPr="00AB6F7C">
        <w:rPr>
          <w:rFonts w:ascii="Times New Roman" w:hAnsi="Times New Roman" w:cs="Times New Roman"/>
          <w:noProof/>
          <w:sz w:val="24"/>
          <w:szCs w:val="24"/>
          <w:lang w:eastAsia="lt-LT"/>
        </w:rPr>
        <w:pict>
          <v:shape id="_x0000_i1028" type="#_x0000_t75" style="width:337.5pt;height:228pt;visibility:visible">
            <v:imagedata r:id="rId13" o:title=""/>
          </v:shape>
        </w:pict>
      </w:r>
    </w:p>
    <w:p w:rsidR="00236CDA" w:rsidRPr="002D10A5" w:rsidRDefault="00236CDA" w:rsidP="00462B3F">
      <w:pPr>
        <w:spacing w:after="0"/>
        <w:jc w:val="center"/>
        <w:rPr>
          <w:rFonts w:ascii="Times New Roman" w:hAnsi="Times New Roman" w:cs="Times New Roman"/>
          <w:sz w:val="24"/>
          <w:szCs w:val="24"/>
        </w:rPr>
      </w:pPr>
    </w:p>
    <w:p w:rsidR="00236CDA" w:rsidRPr="008E1CB2" w:rsidRDefault="00236CDA" w:rsidP="00462B3F">
      <w:pPr>
        <w:spacing w:after="0"/>
        <w:jc w:val="center"/>
        <w:rPr>
          <w:rFonts w:ascii="Times New Roman" w:hAnsi="Times New Roman" w:cs="Times New Roman"/>
          <w:sz w:val="24"/>
          <w:szCs w:val="24"/>
        </w:rPr>
      </w:pPr>
      <w:r w:rsidRPr="008E1CB2">
        <w:rPr>
          <w:rFonts w:ascii="Times New Roman" w:hAnsi="Times New Roman" w:cs="Times New Roman"/>
          <w:sz w:val="24"/>
          <w:szCs w:val="24"/>
        </w:rPr>
        <w:t xml:space="preserve">3 pav. Išvengiamas mirtingumas (proc.) 2015 m. </w:t>
      </w:r>
    </w:p>
    <w:p w:rsidR="00236CDA" w:rsidRDefault="00236CDA" w:rsidP="00462B3F">
      <w:pPr>
        <w:spacing w:after="0"/>
        <w:jc w:val="center"/>
        <w:rPr>
          <w:rFonts w:ascii="Times New Roman" w:hAnsi="Times New Roman" w:cs="Times New Roman"/>
          <w:i/>
          <w:iCs/>
          <w:sz w:val="24"/>
          <w:szCs w:val="24"/>
        </w:rPr>
      </w:pPr>
      <w:r w:rsidRPr="002D10A5">
        <w:rPr>
          <w:rFonts w:ascii="Times New Roman" w:hAnsi="Times New Roman" w:cs="Times New Roman"/>
          <w:i/>
          <w:iCs/>
          <w:sz w:val="24"/>
          <w:szCs w:val="24"/>
        </w:rPr>
        <w:t>Šaltinis: Visuomenės sveikatos būklė Lietuvos savivaldybėse, Vilnius, 2016</w:t>
      </w:r>
    </w:p>
    <w:p w:rsidR="00236CDA" w:rsidRPr="002D10A5" w:rsidRDefault="00236CDA" w:rsidP="00730036">
      <w:pPr>
        <w:rPr>
          <w:rFonts w:ascii="Times New Roman" w:hAnsi="Times New Roman" w:cs="Times New Roman"/>
          <w:sz w:val="24"/>
          <w:szCs w:val="24"/>
        </w:rPr>
      </w:pPr>
      <w:r>
        <w:rPr>
          <w:rFonts w:ascii="Times New Roman" w:hAnsi="Times New Roman" w:cs="Times New Roman"/>
          <w:i/>
          <w:iCs/>
          <w:sz w:val="24"/>
          <w:szCs w:val="24"/>
        </w:rPr>
        <w:br w:type="page"/>
      </w:r>
      <w:r w:rsidRPr="002D10A5">
        <w:rPr>
          <w:rFonts w:ascii="Times New Roman" w:hAnsi="Times New Roman" w:cs="Times New Roman"/>
          <w:i/>
          <w:iCs/>
          <w:sz w:val="24"/>
          <w:szCs w:val="24"/>
        </w:rPr>
        <w:tab/>
      </w:r>
      <w:r w:rsidRPr="002D10A5">
        <w:rPr>
          <w:rFonts w:ascii="Times New Roman" w:hAnsi="Times New Roman" w:cs="Times New Roman"/>
          <w:sz w:val="24"/>
          <w:szCs w:val="24"/>
        </w:rPr>
        <w:t>Vertinant Pagėgių savivaldybės ir Lietuvos vidurkio santykį</w:t>
      </w:r>
      <w:r>
        <w:rPr>
          <w:rFonts w:ascii="Times New Roman" w:hAnsi="Times New Roman" w:cs="Times New Roman"/>
          <w:sz w:val="24"/>
          <w:szCs w:val="24"/>
        </w:rPr>
        <w:t>,</w:t>
      </w:r>
      <w:r w:rsidRPr="002D10A5">
        <w:rPr>
          <w:rFonts w:ascii="Times New Roman" w:hAnsi="Times New Roman" w:cs="Times New Roman"/>
          <w:sz w:val="24"/>
          <w:szCs w:val="24"/>
        </w:rPr>
        <w:t xml:space="preserve"> mažųjų Lietuvos savivaldybių kontekste</w:t>
      </w:r>
      <w:r>
        <w:rPr>
          <w:rFonts w:ascii="Times New Roman" w:hAnsi="Times New Roman" w:cs="Times New Roman"/>
          <w:sz w:val="24"/>
          <w:szCs w:val="24"/>
        </w:rPr>
        <w:t>,</w:t>
      </w:r>
      <w:r w:rsidRPr="002D10A5">
        <w:rPr>
          <w:rFonts w:ascii="Times New Roman" w:hAnsi="Times New Roman" w:cs="Times New Roman"/>
          <w:sz w:val="24"/>
          <w:szCs w:val="24"/>
        </w:rPr>
        <w:t xml:space="preserve"> pastebima, kad šis rodiklis yra arčiausiai „raudonos zonos“ (žr. 4 pav.).</w:t>
      </w:r>
    </w:p>
    <w:p w:rsidR="00236CDA" w:rsidRPr="002D10A5" w:rsidRDefault="00236CDA" w:rsidP="00BF5592">
      <w:pPr>
        <w:spacing w:after="0"/>
        <w:jc w:val="center"/>
        <w:rPr>
          <w:rFonts w:ascii="Times New Roman" w:hAnsi="Times New Roman" w:cs="Times New Roman"/>
          <w:sz w:val="24"/>
          <w:szCs w:val="24"/>
        </w:rPr>
      </w:pPr>
      <w:r w:rsidRPr="00AB6F7C">
        <w:rPr>
          <w:rFonts w:ascii="Times New Roman" w:hAnsi="Times New Roman" w:cs="Times New Roman"/>
          <w:i/>
          <w:iCs/>
          <w:noProof/>
          <w:sz w:val="24"/>
          <w:szCs w:val="24"/>
          <w:lang w:eastAsia="lt-LT"/>
        </w:rPr>
        <w:pict>
          <v:shape id="_x0000_i1029" type="#_x0000_t75" style="width:361.5pt;height:165pt;visibility:visible">
            <v:imagedata r:id="rId14" o:title=""/>
          </v:shape>
        </w:pict>
      </w:r>
    </w:p>
    <w:p w:rsidR="00236CDA" w:rsidRDefault="00236CDA" w:rsidP="00BF5592">
      <w:pPr>
        <w:spacing w:after="0"/>
        <w:jc w:val="center"/>
        <w:rPr>
          <w:rFonts w:ascii="Times New Roman" w:hAnsi="Times New Roman" w:cs="Times New Roman"/>
          <w:sz w:val="24"/>
          <w:szCs w:val="24"/>
        </w:rPr>
      </w:pPr>
      <w:r w:rsidRPr="008E1CB2">
        <w:rPr>
          <w:rFonts w:ascii="Times New Roman" w:hAnsi="Times New Roman" w:cs="Times New Roman"/>
          <w:sz w:val="24"/>
          <w:szCs w:val="24"/>
        </w:rPr>
        <w:t xml:space="preserve">4 pav. Išvengiamo mirtingumo </w:t>
      </w:r>
      <w:r>
        <w:rPr>
          <w:rFonts w:ascii="Times New Roman" w:hAnsi="Times New Roman" w:cs="Times New Roman"/>
          <w:sz w:val="24"/>
          <w:szCs w:val="24"/>
        </w:rPr>
        <w:t xml:space="preserve">rodiklio </w:t>
      </w:r>
      <w:r w:rsidRPr="008E1CB2">
        <w:rPr>
          <w:rFonts w:ascii="Times New Roman" w:hAnsi="Times New Roman" w:cs="Times New Roman"/>
          <w:sz w:val="24"/>
          <w:szCs w:val="24"/>
        </w:rPr>
        <w:t xml:space="preserve">santykis </w:t>
      </w:r>
      <w:r>
        <w:rPr>
          <w:rFonts w:ascii="Times New Roman" w:hAnsi="Times New Roman" w:cs="Times New Roman"/>
          <w:sz w:val="24"/>
          <w:szCs w:val="24"/>
        </w:rPr>
        <w:t xml:space="preserve">Pagėgių savivaldybėje </w:t>
      </w:r>
      <w:r w:rsidRPr="008E1CB2">
        <w:rPr>
          <w:rFonts w:ascii="Times New Roman" w:hAnsi="Times New Roman" w:cs="Times New Roman"/>
          <w:sz w:val="24"/>
          <w:szCs w:val="24"/>
        </w:rPr>
        <w:t xml:space="preserve">su Lietuvos vidurkiu (proc.) </w:t>
      </w:r>
    </w:p>
    <w:p w:rsidR="00236CDA" w:rsidRPr="008E1CB2" w:rsidRDefault="00236CDA" w:rsidP="00BF5592">
      <w:pPr>
        <w:spacing w:after="0"/>
        <w:jc w:val="center"/>
        <w:rPr>
          <w:rFonts w:ascii="Times New Roman" w:hAnsi="Times New Roman" w:cs="Times New Roman"/>
          <w:sz w:val="24"/>
          <w:szCs w:val="24"/>
        </w:rPr>
      </w:pPr>
      <w:r w:rsidRPr="008E1CB2">
        <w:rPr>
          <w:rFonts w:ascii="Times New Roman" w:hAnsi="Times New Roman" w:cs="Times New Roman"/>
          <w:sz w:val="24"/>
          <w:szCs w:val="24"/>
        </w:rPr>
        <w:t xml:space="preserve">2015 m. </w:t>
      </w:r>
    </w:p>
    <w:p w:rsidR="00236CDA" w:rsidRPr="002D10A5" w:rsidRDefault="00236CDA" w:rsidP="00BF5592">
      <w:pPr>
        <w:spacing w:after="0"/>
        <w:jc w:val="center"/>
        <w:rPr>
          <w:rFonts w:ascii="Times New Roman" w:hAnsi="Times New Roman" w:cs="Times New Roman"/>
          <w:i/>
          <w:iCs/>
          <w:sz w:val="24"/>
          <w:szCs w:val="24"/>
        </w:rPr>
      </w:pPr>
      <w:r w:rsidRPr="002D10A5">
        <w:rPr>
          <w:rFonts w:ascii="Times New Roman" w:hAnsi="Times New Roman" w:cs="Times New Roman"/>
          <w:i/>
          <w:iCs/>
          <w:sz w:val="24"/>
          <w:szCs w:val="24"/>
        </w:rPr>
        <w:t>Šaltinis: Visuomenės sveikatos būklė Lietuvos savivaldybėse, Vilnius, 2016</w:t>
      </w:r>
    </w:p>
    <w:p w:rsidR="00236CDA" w:rsidRPr="00FE51ED" w:rsidRDefault="00236CDA" w:rsidP="00462B3F">
      <w:pPr>
        <w:spacing w:after="0"/>
        <w:jc w:val="center"/>
        <w:rPr>
          <w:rFonts w:ascii="Times New Roman" w:hAnsi="Times New Roman" w:cs="Times New Roman"/>
          <w:i/>
          <w:iCs/>
          <w:sz w:val="20"/>
          <w:szCs w:val="20"/>
        </w:rPr>
      </w:pPr>
    </w:p>
    <w:p w:rsidR="00236CDA" w:rsidRPr="002D10A5" w:rsidRDefault="00236CDA" w:rsidP="007E37ED">
      <w:pPr>
        <w:pStyle w:val="ListParagraph"/>
        <w:spacing w:after="0"/>
        <w:ind w:left="0"/>
        <w:jc w:val="center"/>
        <w:rPr>
          <w:rFonts w:ascii="Times New Roman" w:hAnsi="Times New Roman" w:cs="Times New Roman"/>
          <w:b/>
          <w:bCs/>
          <w:sz w:val="24"/>
          <w:szCs w:val="24"/>
        </w:rPr>
      </w:pPr>
      <w:r w:rsidRPr="002D10A5">
        <w:rPr>
          <w:rFonts w:ascii="Times New Roman" w:hAnsi="Times New Roman" w:cs="Times New Roman"/>
          <w:b/>
          <w:bCs/>
          <w:sz w:val="24"/>
          <w:szCs w:val="24"/>
        </w:rPr>
        <w:t>2.1.3.</w:t>
      </w:r>
      <w:r>
        <w:rPr>
          <w:rFonts w:ascii="Times New Roman" w:hAnsi="Times New Roman" w:cs="Times New Roman"/>
          <w:b/>
          <w:bCs/>
          <w:sz w:val="24"/>
          <w:szCs w:val="24"/>
        </w:rPr>
        <w:t xml:space="preserve"> </w:t>
      </w:r>
      <w:r w:rsidRPr="002D10A5">
        <w:rPr>
          <w:rFonts w:ascii="Times New Roman" w:hAnsi="Times New Roman" w:cs="Times New Roman"/>
          <w:b/>
          <w:bCs/>
          <w:sz w:val="24"/>
          <w:szCs w:val="24"/>
        </w:rPr>
        <w:t>MIRTINGUMAS/ STANDARTIZUOTAS MIRTINGUMAS</w:t>
      </w:r>
    </w:p>
    <w:p w:rsidR="00236CDA" w:rsidRPr="002D10A5" w:rsidRDefault="00236CDA" w:rsidP="007E37ED">
      <w:pPr>
        <w:pStyle w:val="ListParagraph"/>
        <w:spacing w:after="0"/>
        <w:ind w:left="0"/>
        <w:jc w:val="center"/>
        <w:rPr>
          <w:rFonts w:ascii="Times New Roman" w:hAnsi="Times New Roman" w:cs="Times New Roman"/>
          <w:b/>
          <w:bCs/>
          <w:sz w:val="24"/>
          <w:szCs w:val="24"/>
        </w:rPr>
      </w:pPr>
      <w:r w:rsidRPr="002D10A5">
        <w:rPr>
          <w:rFonts w:ascii="Times New Roman" w:hAnsi="Times New Roman" w:cs="Times New Roman"/>
          <w:b/>
          <w:bCs/>
          <w:sz w:val="24"/>
          <w:szCs w:val="24"/>
        </w:rPr>
        <w:t>NUO PIKTYBINIŲ NAVIKŲ</w:t>
      </w:r>
    </w:p>
    <w:p w:rsidR="00236CDA" w:rsidRPr="00FE51ED" w:rsidRDefault="00236CDA" w:rsidP="00FE51ED">
      <w:pPr>
        <w:spacing w:after="0"/>
        <w:jc w:val="center"/>
        <w:rPr>
          <w:rFonts w:ascii="Times New Roman" w:hAnsi="Times New Roman" w:cs="Times New Roman"/>
          <w:b/>
          <w:bCs/>
          <w:sz w:val="20"/>
          <w:szCs w:val="20"/>
        </w:rPr>
      </w:pPr>
    </w:p>
    <w:p w:rsidR="00236CDA" w:rsidRPr="002D10A5" w:rsidRDefault="00236CDA" w:rsidP="00462B3F">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LSP uždavinį </w:t>
      </w:r>
      <w:r>
        <w:rPr>
          <w:rFonts w:ascii="Times New Roman" w:hAnsi="Times New Roman" w:cs="Times New Roman"/>
          <w:sz w:val="24"/>
          <w:szCs w:val="24"/>
        </w:rPr>
        <w:t>−</w:t>
      </w:r>
      <w:r w:rsidRPr="002D10A5">
        <w:rPr>
          <w:rFonts w:ascii="Times New Roman" w:hAnsi="Times New Roman" w:cs="Times New Roman"/>
          <w:sz w:val="24"/>
          <w:szCs w:val="24"/>
        </w:rPr>
        <w:t xml:space="preserve"> stiprinti lėtinių neinfekcinių ligų prevenciją ir kontrolę, apibūdina mirtingumo nuo piktybinių navikų rodiklis. Pastarasis 2015 m. Pagėgių sav. turėjo „raudoną reikšmę“, kaip ir 2014 m.</w:t>
      </w:r>
    </w:p>
    <w:p w:rsidR="00236CDA" w:rsidRPr="002D10A5" w:rsidRDefault="00236CDA" w:rsidP="00462B3F">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2015 m. Lietuvoje nuo piktybinių navikų mirė 8 348 gyventojai (nestandartizuotas mirtingumo rodiklis – 287,4/100 000 gyv.). Žemėlapyje matyti, kad didžiausi standartizuoto mirtingumo rodikliai nuo piktybių navikų buvo Šiaurės ir Vidurio Lietuvoje, tačiau tarp didžiausių rodiklių buvo ir Pagėgių savivaldybė (373,72/100 000 gyv.) (žr. 5 pav.). </w:t>
      </w:r>
    </w:p>
    <w:p w:rsidR="00236CDA" w:rsidRPr="002D10A5" w:rsidRDefault="00236CDA" w:rsidP="00B14F44">
      <w:pPr>
        <w:spacing w:after="0"/>
        <w:ind w:left="720"/>
        <w:jc w:val="center"/>
        <w:rPr>
          <w:rFonts w:ascii="Times New Roman" w:hAnsi="Times New Roman" w:cs="Times New Roman"/>
          <w:sz w:val="24"/>
          <w:szCs w:val="24"/>
        </w:rPr>
      </w:pPr>
      <w:r w:rsidRPr="00AB6F7C">
        <w:rPr>
          <w:rFonts w:ascii="Times New Roman" w:hAnsi="Times New Roman" w:cs="Times New Roman"/>
          <w:noProof/>
          <w:sz w:val="24"/>
          <w:szCs w:val="24"/>
          <w:lang w:eastAsia="lt-LT"/>
        </w:rPr>
        <w:pict>
          <v:shape id="_x0000_i1030" type="#_x0000_t75" style="width:309.75pt;height:224.25pt;visibility:visible">
            <v:imagedata r:id="rId15" o:title=""/>
          </v:shape>
        </w:pict>
      </w:r>
    </w:p>
    <w:p w:rsidR="00236CDA" w:rsidRPr="008E1CB2" w:rsidRDefault="00236CDA" w:rsidP="00B14F44">
      <w:pPr>
        <w:spacing w:after="0"/>
        <w:ind w:left="720"/>
        <w:jc w:val="center"/>
        <w:rPr>
          <w:rFonts w:ascii="Times New Roman" w:hAnsi="Times New Roman" w:cs="Times New Roman"/>
          <w:sz w:val="24"/>
          <w:szCs w:val="24"/>
        </w:rPr>
      </w:pPr>
      <w:r w:rsidRPr="008E1CB2">
        <w:rPr>
          <w:rFonts w:ascii="Times New Roman" w:hAnsi="Times New Roman" w:cs="Times New Roman"/>
          <w:sz w:val="24"/>
          <w:szCs w:val="24"/>
        </w:rPr>
        <w:t>5 pav. Standartizuotas mirtingumas nuo piktybinių navikų 2015 m. (100 000 gyv.)</w:t>
      </w:r>
    </w:p>
    <w:p w:rsidR="00236CDA" w:rsidRPr="002D10A5" w:rsidRDefault="00236CDA" w:rsidP="00730036">
      <w:pPr>
        <w:spacing w:after="0"/>
        <w:ind w:left="720"/>
        <w:jc w:val="center"/>
        <w:rPr>
          <w:rFonts w:ascii="Times New Roman" w:hAnsi="Times New Roman" w:cs="Times New Roman"/>
          <w:sz w:val="24"/>
          <w:szCs w:val="24"/>
        </w:rPr>
      </w:pPr>
      <w:r w:rsidRPr="002D10A5">
        <w:rPr>
          <w:rFonts w:ascii="Times New Roman" w:hAnsi="Times New Roman" w:cs="Times New Roman"/>
          <w:i/>
          <w:iCs/>
          <w:sz w:val="24"/>
          <w:szCs w:val="24"/>
        </w:rPr>
        <w:t>Šaltinis: Visuomenės sveikatos būklė Lietuvos savivaldybėse, Vilnius, 2016</w:t>
      </w:r>
      <w:r w:rsidRPr="002D10A5">
        <w:rPr>
          <w:rFonts w:ascii="Times New Roman" w:hAnsi="Times New Roman" w:cs="Times New Roman"/>
          <w:i/>
          <w:iCs/>
          <w:sz w:val="24"/>
          <w:szCs w:val="24"/>
        </w:rPr>
        <w:br w:type="page"/>
      </w:r>
      <w:r w:rsidRPr="002D10A5">
        <w:rPr>
          <w:rFonts w:ascii="Times New Roman" w:hAnsi="Times New Roman" w:cs="Times New Roman"/>
          <w:sz w:val="24"/>
          <w:szCs w:val="24"/>
        </w:rPr>
        <w:t xml:space="preserve">Analizuojant mirtingumo nuo piktybinių navikų rodiklį 2011–2015 m. laikotarpiu pagal lytį, pastebima, kad dažniau dėl šios priežasties miršta vyrai nei moterys (žr. 6 pav.). </w:t>
      </w:r>
    </w:p>
    <w:p w:rsidR="00236CDA" w:rsidRPr="002D10A5" w:rsidRDefault="00236CDA" w:rsidP="00BA17CA">
      <w:pPr>
        <w:spacing w:after="0"/>
        <w:ind w:firstLine="1134"/>
        <w:jc w:val="both"/>
        <w:rPr>
          <w:rFonts w:ascii="Times New Roman" w:hAnsi="Times New Roman" w:cs="Times New Roman"/>
          <w:sz w:val="24"/>
          <w:szCs w:val="24"/>
        </w:rPr>
      </w:pPr>
    </w:p>
    <w:p w:rsidR="00236CDA" w:rsidRPr="002D10A5" w:rsidRDefault="00236CDA" w:rsidP="00E112D5">
      <w:pPr>
        <w:spacing w:after="0"/>
        <w:jc w:val="center"/>
        <w:rPr>
          <w:rFonts w:ascii="Times New Roman" w:hAnsi="Times New Roman" w:cs="Times New Roman"/>
          <w:i/>
          <w:iCs/>
          <w:sz w:val="24"/>
          <w:szCs w:val="24"/>
        </w:rPr>
      </w:pPr>
      <w:r w:rsidRPr="00AB6F7C">
        <w:rPr>
          <w:rFonts w:ascii="Times New Roman" w:hAnsi="Times New Roman" w:cs="Times New Roman"/>
          <w:i/>
          <w:iCs/>
          <w:noProof/>
          <w:sz w:val="24"/>
          <w:szCs w:val="24"/>
          <w:lang w:eastAsia="lt-LT"/>
        </w:rPr>
        <w:pict>
          <v:shape id="Diagrama 2" o:spid="_x0000_i1031" type="#_x0000_t75" style="width:361.5pt;height:216.75pt;visibility:visible">
            <v:imagedata r:id="rId16" o:title=""/>
            <o:lock v:ext="edit" aspectratio="f"/>
          </v:shape>
        </w:pict>
      </w:r>
    </w:p>
    <w:p w:rsidR="00236CDA" w:rsidRPr="002D10A5" w:rsidRDefault="00236CDA" w:rsidP="00E112D5">
      <w:pPr>
        <w:spacing w:after="0"/>
        <w:jc w:val="center"/>
        <w:rPr>
          <w:rFonts w:ascii="Times New Roman" w:hAnsi="Times New Roman" w:cs="Times New Roman"/>
          <w:sz w:val="24"/>
          <w:szCs w:val="24"/>
        </w:rPr>
      </w:pPr>
      <w:r w:rsidRPr="002D10A5">
        <w:rPr>
          <w:rFonts w:ascii="Times New Roman" w:hAnsi="Times New Roman" w:cs="Times New Roman"/>
          <w:sz w:val="24"/>
          <w:szCs w:val="24"/>
        </w:rPr>
        <w:t>6 pav. Mirtingumas nuo piktybinių navikų Pagėgių sav. pagal lytį 2011–2015 m. (100 000 gyv.)</w:t>
      </w:r>
    </w:p>
    <w:p w:rsidR="00236CDA" w:rsidRPr="002D10A5" w:rsidRDefault="00236CDA" w:rsidP="00E112D5">
      <w:pPr>
        <w:spacing w:after="0"/>
        <w:jc w:val="center"/>
        <w:rPr>
          <w:rFonts w:ascii="Times New Roman" w:hAnsi="Times New Roman" w:cs="Times New Roman"/>
          <w:i/>
          <w:iCs/>
          <w:sz w:val="24"/>
          <w:szCs w:val="24"/>
        </w:rPr>
      </w:pPr>
      <w:r w:rsidRPr="002D10A5">
        <w:rPr>
          <w:rFonts w:ascii="Times New Roman" w:hAnsi="Times New Roman" w:cs="Times New Roman"/>
          <w:i/>
          <w:iCs/>
          <w:sz w:val="24"/>
          <w:szCs w:val="24"/>
        </w:rPr>
        <w:t>Šaltinis: Higienos instituto sveikatos informacijos centras</w:t>
      </w:r>
    </w:p>
    <w:p w:rsidR="00236CDA" w:rsidRPr="002D10A5" w:rsidRDefault="00236CDA" w:rsidP="00DF4B1E">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2015 m. Pagėgių sav. nuo piktybinių navikų dažniau mirė darbingo ir pensinio amžiaus gyventojai. Iki 44 m. amžiaus gyventojų grupėje mirtingumo</w:t>
      </w:r>
      <w:r>
        <w:rPr>
          <w:rFonts w:ascii="Times New Roman" w:hAnsi="Times New Roman" w:cs="Times New Roman"/>
          <w:sz w:val="24"/>
          <w:szCs w:val="24"/>
        </w:rPr>
        <w:t>,</w:t>
      </w:r>
      <w:r w:rsidRPr="002D10A5">
        <w:rPr>
          <w:rFonts w:ascii="Times New Roman" w:hAnsi="Times New Roman" w:cs="Times New Roman"/>
          <w:sz w:val="24"/>
          <w:szCs w:val="24"/>
        </w:rPr>
        <w:t xml:space="preserve"> dėl šios priežasties</w:t>
      </w:r>
      <w:r>
        <w:rPr>
          <w:rFonts w:ascii="Times New Roman" w:hAnsi="Times New Roman" w:cs="Times New Roman"/>
          <w:sz w:val="24"/>
          <w:szCs w:val="24"/>
        </w:rPr>
        <w:t>,</w:t>
      </w:r>
      <w:r w:rsidRPr="002D10A5">
        <w:rPr>
          <w:rFonts w:ascii="Times New Roman" w:hAnsi="Times New Roman" w:cs="Times New Roman"/>
          <w:sz w:val="24"/>
          <w:szCs w:val="24"/>
        </w:rPr>
        <w:t xml:space="preserve"> užfiksuota nebuvo (žr. 7 pav.).</w:t>
      </w:r>
    </w:p>
    <w:p w:rsidR="00236CDA" w:rsidRPr="002D10A5" w:rsidRDefault="00236CDA" w:rsidP="00E112D5">
      <w:pPr>
        <w:spacing w:after="0"/>
        <w:jc w:val="center"/>
        <w:rPr>
          <w:rFonts w:ascii="Times New Roman" w:hAnsi="Times New Roman" w:cs="Times New Roman"/>
          <w:sz w:val="24"/>
          <w:szCs w:val="24"/>
        </w:rPr>
      </w:pPr>
      <w:r w:rsidRPr="00AB6F7C">
        <w:rPr>
          <w:rFonts w:ascii="Times New Roman" w:hAnsi="Times New Roman" w:cs="Times New Roman"/>
          <w:noProof/>
          <w:sz w:val="24"/>
          <w:szCs w:val="24"/>
          <w:lang w:eastAsia="lt-LT"/>
        </w:rPr>
        <w:pict>
          <v:shape id="Diagrama 3" o:spid="_x0000_i1032" type="#_x0000_t75" style="width:361.5pt;height:216.75pt;visibility:visible">
            <v:imagedata r:id="rId17" o:title=""/>
            <o:lock v:ext="edit" aspectratio="f"/>
          </v:shape>
        </w:pict>
      </w:r>
    </w:p>
    <w:p w:rsidR="00236CDA" w:rsidRPr="002D10A5" w:rsidRDefault="00236CDA" w:rsidP="00E112D5">
      <w:pPr>
        <w:spacing w:after="0"/>
        <w:jc w:val="center"/>
        <w:rPr>
          <w:rFonts w:ascii="Times New Roman" w:hAnsi="Times New Roman" w:cs="Times New Roman"/>
          <w:sz w:val="24"/>
          <w:szCs w:val="24"/>
        </w:rPr>
      </w:pPr>
      <w:r w:rsidRPr="002D10A5">
        <w:rPr>
          <w:rFonts w:ascii="Times New Roman" w:hAnsi="Times New Roman" w:cs="Times New Roman"/>
          <w:sz w:val="24"/>
          <w:szCs w:val="24"/>
        </w:rPr>
        <w:t xml:space="preserve">7 pav. Mirtingumas nuo piktybinių navikų Pagėgių. sav. pagal </w:t>
      </w:r>
      <w:r>
        <w:rPr>
          <w:rFonts w:ascii="Times New Roman" w:hAnsi="Times New Roman" w:cs="Times New Roman"/>
          <w:sz w:val="24"/>
          <w:szCs w:val="24"/>
        </w:rPr>
        <w:t xml:space="preserve">amžių </w:t>
      </w:r>
      <w:r w:rsidRPr="002D10A5">
        <w:rPr>
          <w:rFonts w:ascii="Times New Roman" w:hAnsi="Times New Roman" w:cs="Times New Roman"/>
          <w:sz w:val="24"/>
          <w:szCs w:val="24"/>
        </w:rPr>
        <w:t>2015 m. (100 000 gyv.)</w:t>
      </w:r>
    </w:p>
    <w:p w:rsidR="00236CDA" w:rsidRPr="002D10A5" w:rsidRDefault="00236CDA" w:rsidP="00E112D5">
      <w:pPr>
        <w:spacing w:after="0"/>
        <w:jc w:val="center"/>
        <w:rPr>
          <w:rFonts w:ascii="Times New Roman" w:hAnsi="Times New Roman" w:cs="Times New Roman"/>
          <w:i/>
          <w:iCs/>
          <w:sz w:val="24"/>
          <w:szCs w:val="24"/>
        </w:rPr>
      </w:pPr>
      <w:r w:rsidRPr="002D10A5">
        <w:rPr>
          <w:rFonts w:ascii="Times New Roman" w:hAnsi="Times New Roman" w:cs="Times New Roman"/>
          <w:i/>
          <w:iCs/>
          <w:sz w:val="24"/>
          <w:szCs w:val="24"/>
        </w:rPr>
        <w:t>Šaltinis: Higienos instituto sveikatos informacijos centras</w:t>
      </w:r>
    </w:p>
    <w:p w:rsidR="00236CDA" w:rsidRPr="002D10A5" w:rsidRDefault="00236CDA" w:rsidP="00730036">
      <w:pPr>
        <w:rPr>
          <w:rFonts w:ascii="Times New Roman" w:hAnsi="Times New Roman" w:cs="Times New Roman"/>
          <w:sz w:val="24"/>
          <w:szCs w:val="24"/>
        </w:rPr>
      </w:pPr>
      <w:r w:rsidRPr="002D10A5">
        <w:rPr>
          <w:rFonts w:ascii="Times New Roman" w:hAnsi="Times New Roman" w:cs="Times New Roman"/>
          <w:sz w:val="24"/>
          <w:szCs w:val="24"/>
        </w:rPr>
        <w:br w:type="page"/>
      </w:r>
      <w:r>
        <w:rPr>
          <w:rFonts w:ascii="Times New Roman" w:hAnsi="Times New Roman" w:cs="Times New Roman"/>
          <w:sz w:val="24"/>
          <w:szCs w:val="24"/>
        </w:rPr>
        <w:t xml:space="preserve">            </w:t>
      </w:r>
      <w:r w:rsidRPr="002D10A5">
        <w:rPr>
          <w:rFonts w:ascii="Times New Roman" w:hAnsi="Times New Roman" w:cs="Times New Roman"/>
          <w:sz w:val="24"/>
          <w:szCs w:val="24"/>
        </w:rPr>
        <w:t>2015 m. Pagėgių sav. didžiausias mirtingumo nuo piktybinių navikų, pagal vėžio rūšį, rodiklis buvo priešinės liaukos piktybinių navikų (73,91/100 000 vyrų), krūties piktybinių navikų (66,61/100 000 moterų) ir gerklų, trachėjos, bronchų ir plaučių piktybinių navikų  (58,39/100 000 gyv.) (žr. 8 pav.).</w:t>
      </w:r>
    </w:p>
    <w:p w:rsidR="00236CDA" w:rsidRPr="002D10A5" w:rsidRDefault="00236CDA" w:rsidP="00AC4FE5">
      <w:pPr>
        <w:spacing w:after="0"/>
        <w:ind w:firstLine="1134"/>
        <w:jc w:val="both"/>
        <w:rPr>
          <w:rFonts w:ascii="Times New Roman" w:hAnsi="Times New Roman" w:cs="Times New Roman"/>
          <w:sz w:val="24"/>
          <w:szCs w:val="24"/>
        </w:rPr>
      </w:pPr>
    </w:p>
    <w:p w:rsidR="00236CDA" w:rsidRPr="002D10A5" w:rsidRDefault="00236CDA" w:rsidP="008C00D1">
      <w:pPr>
        <w:spacing w:after="0"/>
        <w:jc w:val="center"/>
        <w:rPr>
          <w:rFonts w:ascii="Times New Roman" w:hAnsi="Times New Roman" w:cs="Times New Roman"/>
          <w:sz w:val="24"/>
          <w:szCs w:val="24"/>
        </w:rPr>
      </w:pPr>
      <w:r w:rsidRPr="00AB6F7C">
        <w:rPr>
          <w:rFonts w:ascii="Times New Roman" w:hAnsi="Times New Roman" w:cs="Times New Roman"/>
          <w:noProof/>
          <w:sz w:val="24"/>
          <w:szCs w:val="24"/>
          <w:lang w:eastAsia="lt-LT"/>
        </w:rPr>
        <w:pict>
          <v:shape id="Diagrama 1" o:spid="_x0000_i1033" type="#_x0000_t75" style="width:411pt;height:300pt;visibility:visible">
            <v:imagedata r:id="rId18" o:title=""/>
            <o:lock v:ext="edit" aspectratio="f"/>
          </v:shape>
        </w:pict>
      </w:r>
    </w:p>
    <w:p w:rsidR="00236CDA" w:rsidRPr="002D10A5" w:rsidRDefault="00236CDA" w:rsidP="008C00D1">
      <w:pPr>
        <w:spacing w:after="0"/>
        <w:jc w:val="center"/>
        <w:rPr>
          <w:rFonts w:ascii="Times New Roman" w:hAnsi="Times New Roman" w:cs="Times New Roman"/>
          <w:sz w:val="24"/>
          <w:szCs w:val="24"/>
        </w:rPr>
      </w:pPr>
      <w:r w:rsidRPr="002D10A5">
        <w:rPr>
          <w:rFonts w:ascii="Times New Roman" w:hAnsi="Times New Roman" w:cs="Times New Roman"/>
          <w:sz w:val="24"/>
          <w:szCs w:val="24"/>
        </w:rPr>
        <w:t>8 pav. Mirtingumas nuo piktybinių navikų pagal priežastis Pagėgių sav. 2015 m. (100 000 gyv.)</w:t>
      </w:r>
    </w:p>
    <w:p w:rsidR="00236CDA" w:rsidRPr="002D10A5" w:rsidRDefault="00236CDA" w:rsidP="008C00D1">
      <w:pPr>
        <w:spacing w:after="0"/>
        <w:jc w:val="center"/>
        <w:rPr>
          <w:rFonts w:ascii="Times New Roman" w:hAnsi="Times New Roman" w:cs="Times New Roman"/>
          <w:i/>
          <w:iCs/>
          <w:sz w:val="24"/>
          <w:szCs w:val="24"/>
        </w:rPr>
      </w:pPr>
      <w:r w:rsidRPr="002D10A5">
        <w:rPr>
          <w:rFonts w:ascii="Times New Roman" w:hAnsi="Times New Roman" w:cs="Times New Roman"/>
          <w:i/>
          <w:iCs/>
          <w:sz w:val="24"/>
          <w:szCs w:val="24"/>
        </w:rPr>
        <w:t>Šaltinis: Higienos instituto sveikatos informacijos centras</w:t>
      </w:r>
    </w:p>
    <w:p w:rsidR="00236CDA" w:rsidRPr="002D10A5" w:rsidRDefault="00236CDA" w:rsidP="00B14F44">
      <w:pPr>
        <w:spacing w:after="0"/>
        <w:ind w:left="720"/>
        <w:jc w:val="center"/>
        <w:rPr>
          <w:rFonts w:ascii="Times New Roman" w:hAnsi="Times New Roman" w:cs="Times New Roman"/>
          <w:sz w:val="24"/>
          <w:szCs w:val="24"/>
        </w:rPr>
      </w:pPr>
    </w:p>
    <w:p w:rsidR="00236CDA" w:rsidRPr="002D10A5" w:rsidRDefault="00236CDA" w:rsidP="00730036">
      <w:pPr>
        <w:jc w:val="center"/>
        <w:rPr>
          <w:rFonts w:ascii="Times New Roman" w:hAnsi="Times New Roman" w:cs="Times New Roman"/>
          <w:b/>
          <w:bCs/>
          <w:sz w:val="28"/>
          <w:szCs w:val="28"/>
        </w:rPr>
      </w:pPr>
      <w:r w:rsidRPr="002D10A5">
        <w:rPr>
          <w:rFonts w:ascii="Times New Roman" w:hAnsi="Times New Roman" w:cs="Times New Roman"/>
          <w:b/>
          <w:bCs/>
          <w:sz w:val="24"/>
          <w:szCs w:val="24"/>
        </w:rPr>
        <w:br w:type="page"/>
      </w:r>
      <w:r w:rsidRPr="002D10A5">
        <w:rPr>
          <w:rFonts w:ascii="Times New Roman" w:hAnsi="Times New Roman" w:cs="Times New Roman"/>
          <w:b/>
          <w:bCs/>
          <w:sz w:val="28"/>
          <w:szCs w:val="28"/>
        </w:rPr>
        <w:t>3. APIBENDRINIMAS IR REKOMENDACIJOS</w:t>
      </w:r>
    </w:p>
    <w:p w:rsidR="00236CDA" w:rsidRPr="002D10A5" w:rsidRDefault="00236CDA" w:rsidP="00AC4FE5">
      <w:pPr>
        <w:spacing w:after="0"/>
        <w:jc w:val="center"/>
        <w:rPr>
          <w:rFonts w:ascii="Times New Roman" w:hAnsi="Times New Roman" w:cs="Times New Roman"/>
          <w:b/>
          <w:bCs/>
          <w:sz w:val="24"/>
          <w:szCs w:val="24"/>
        </w:rPr>
      </w:pPr>
    </w:p>
    <w:p w:rsidR="00236CDA" w:rsidRPr="002D10A5" w:rsidRDefault="00236CDA" w:rsidP="00F86BA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Apibendrinus Pagėgių savivaldybės visuomenės sveikatos būklę pastebima, kad daugelis rodiklių apibūdinančių socialinę padėtį patenka į raudoną zoną, t.y. mirtingumas dėl savižudybių, mokyklinio amžiaus vaikų, nesimokančių mokyklose, skaičius, socialinės rizikos šeimų skaičius, gyventojų skaičiaus pokytis, mokinių, mokyklose gaunančių nemokamą maitinimą, skaičius, socialinės pašalpos gavėjų skaičius, sergamumas tuberkulioze. Taip pat vertėtų atkreipti dėmesį į lėtinių neinfekcinių ligų prevenciją ir kontrolę. Pastebima, kad Pagėgių savivaldybėje rodikliai apibūdinantys lėtinių neinfekcinių ligų prevenciją ir kontrolę patenka į geltoną zoną,</w:t>
      </w:r>
      <w:r>
        <w:rPr>
          <w:rFonts w:ascii="Times New Roman" w:hAnsi="Times New Roman" w:cs="Times New Roman"/>
          <w:sz w:val="24"/>
          <w:szCs w:val="24"/>
        </w:rPr>
        <w:t xml:space="preserve"> o</w:t>
      </w:r>
      <w:r w:rsidRPr="002D10A5">
        <w:rPr>
          <w:rFonts w:ascii="Times New Roman" w:hAnsi="Times New Roman" w:cs="Times New Roman"/>
          <w:sz w:val="24"/>
          <w:szCs w:val="24"/>
        </w:rPr>
        <w:t xml:space="preserve"> vienas jų </w:t>
      </w:r>
      <w:r>
        <w:rPr>
          <w:rFonts w:ascii="Times New Roman" w:hAnsi="Times New Roman" w:cs="Times New Roman"/>
          <w:sz w:val="24"/>
          <w:szCs w:val="24"/>
        </w:rPr>
        <w:t>−</w:t>
      </w:r>
      <w:r w:rsidRPr="002D10A5">
        <w:rPr>
          <w:rFonts w:ascii="Times New Roman" w:hAnsi="Times New Roman" w:cs="Times New Roman"/>
          <w:sz w:val="24"/>
          <w:szCs w:val="24"/>
        </w:rPr>
        <w:t xml:space="preserve"> mirtingumas nuo piktybinių navikų </w:t>
      </w:r>
      <w:r>
        <w:rPr>
          <w:rFonts w:ascii="Times New Roman" w:hAnsi="Times New Roman" w:cs="Times New Roman"/>
          <w:sz w:val="24"/>
          <w:szCs w:val="24"/>
        </w:rPr>
        <w:t>−</w:t>
      </w:r>
      <w:r w:rsidRPr="002D10A5">
        <w:rPr>
          <w:rFonts w:ascii="Times New Roman" w:hAnsi="Times New Roman" w:cs="Times New Roman"/>
          <w:sz w:val="24"/>
          <w:szCs w:val="24"/>
        </w:rPr>
        <w:t xml:space="preserve"> į raudoną zoną. </w:t>
      </w:r>
    </w:p>
    <w:p w:rsidR="00236CDA" w:rsidRPr="002D10A5" w:rsidRDefault="00236CDA" w:rsidP="00F86BA3">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Iš pagrindinių rodiklių sąrašo išskirtos prioritetinės sritys: sergamumas tuberkulioze, išvengiamas mirtingumas, bei mirtingumas nuo piktybinių navikų. Visų šių trijų sričių ligos galėtų būti išgydomos arba išvengiamos skatinant gyventojus naudotis prevencinių programų ir diagnostikos priemonių galimybėmis.</w:t>
      </w:r>
    </w:p>
    <w:p w:rsidR="00236CDA" w:rsidRDefault="00236CDA" w:rsidP="00954831">
      <w:pPr>
        <w:pStyle w:val="ListParagraph"/>
        <w:numPr>
          <w:ilvl w:val="0"/>
          <w:numId w:val="14"/>
        </w:numPr>
        <w:spacing w:after="0"/>
        <w:ind w:left="1134" w:firstLine="0"/>
        <w:jc w:val="both"/>
        <w:rPr>
          <w:rFonts w:ascii="Times New Roman" w:hAnsi="Times New Roman" w:cs="Times New Roman"/>
          <w:b/>
          <w:bCs/>
          <w:sz w:val="24"/>
          <w:szCs w:val="24"/>
        </w:rPr>
      </w:pPr>
      <w:r w:rsidRPr="002D10A5">
        <w:rPr>
          <w:rFonts w:ascii="Times New Roman" w:hAnsi="Times New Roman" w:cs="Times New Roman"/>
          <w:b/>
          <w:bCs/>
          <w:sz w:val="24"/>
          <w:szCs w:val="24"/>
        </w:rPr>
        <w:t>Rekomendacijos sergamumo tuberkulioze srities gerinimui:</w:t>
      </w:r>
    </w:p>
    <w:p w:rsidR="00236CDA" w:rsidRPr="00954831" w:rsidRDefault="00236CDA" w:rsidP="00954831">
      <w:pPr>
        <w:pStyle w:val="ListParagraph"/>
        <w:spacing w:after="0"/>
        <w:ind w:left="0" w:firstLine="993"/>
        <w:jc w:val="both"/>
        <w:rPr>
          <w:rFonts w:ascii="Times New Roman" w:hAnsi="Times New Roman" w:cs="Times New Roman"/>
          <w:b/>
          <w:bCs/>
          <w:sz w:val="24"/>
          <w:szCs w:val="24"/>
        </w:rPr>
      </w:pPr>
      <w:r w:rsidRPr="00954831">
        <w:rPr>
          <w:rFonts w:ascii="Times New Roman" w:hAnsi="Times New Roman" w:cs="Times New Roman"/>
          <w:spacing w:val="2"/>
          <w:sz w:val="24"/>
          <w:szCs w:val="24"/>
          <w:shd w:val="clear" w:color="auto" w:fill="FFFFFF"/>
        </w:rPr>
        <w:t>Kai kurie tuberkulioze sergantys ligoniai savavališkai nutraukia gydymąsi. Savavališkai nutrauktas gydymas padidina sergančiųjų atsparia plaučių tuberkulioze ir dauginio atsparumo vaistams tuberkulioze</w:t>
      </w:r>
      <w:r>
        <w:rPr>
          <w:rFonts w:ascii="Times New Roman" w:hAnsi="Times New Roman" w:cs="Times New Roman"/>
          <w:spacing w:val="2"/>
          <w:sz w:val="24"/>
          <w:szCs w:val="24"/>
          <w:shd w:val="clear" w:color="auto" w:fill="FFFFFF"/>
        </w:rPr>
        <w:t xml:space="preserve"> skaičių</w:t>
      </w:r>
      <w:r w:rsidRPr="00954831">
        <w:rPr>
          <w:rFonts w:ascii="Times New Roman" w:hAnsi="Times New Roman" w:cs="Times New Roman"/>
          <w:spacing w:val="2"/>
          <w:sz w:val="24"/>
          <w:szCs w:val="24"/>
          <w:shd w:val="clear" w:color="auto" w:fill="FFFFFF"/>
        </w:rPr>
        <w:t>.</w:t>
      </w:r>
      <w:r w:rsidRPr="00954831">
        <w:rPr>
          <w:rStyle w:val="apple-converted-space"/>
          <w:rFonts w:ascii="Times New Roman" w:hAnsi="Times New Roman"/>
          <w:spacing w:val="2"/>
          <w:sz w:val="24"/>
          <w:szCs w:val="24"/>
          <w:shd w:val="clear" w:color="auto" w:fill="FFFFFF"/>
        </w:rPr>
        <w:t> </w:t>
      </w:r>
      <w:r>
        <w:rPr>
          <w:rStyle w:val="apple-converted-space"/>
          <w:rFonts w:ascii="Times New Roman" w:hAnsi="Times New Roman"/>
          <w:spacing w:val="2"/>
          <w:sz w:val="24"/>
          <w:szCs w:val="24"/>
          <w:shd w:val="clear" w:color="auto" w:fill="FFFFFF"/>
        </w:rPr>
        <w:t xml:space="preserve">Remiantis SAM informacija, </w:t>
      </w:r>
      <w:r>
        <w:rPr>
          <w:rFonts w:ascii="Times New Roman" w:hAnsi="Times New Roman" w:cs="Times New Roman"/>
          <w:spacing w:val="2"/>
          <w:sz w:val="24"/>
          <w:szCs w:val="24"/>
          <w:shd w:val="clear" w:color="auto" w:fill="FFFFFF"/>
        </w:rPr>
        <w:t>sė</w:t>
      </w:r>
      <w:r w:rsidRPr="00954831">
        <w:rPr>
          <w:rFonts w:ascii="Times New Roman" w:hAnsi="Times New Roman" w:cs="Times New Roman"/>
          <w:spacing w:val="2"/>
          <w:sz w:val="24"/>
          <w:szCs w:val="24"/>
          <w:shd w:val="clear" w:color="auto" w:fill="FFFFFF"/>
        </w:rPr>
        <w:t>kmingo gydymo pagrindas yra PSO patvirtinta vadinamoji DOTS (angl. directly observed treatment short) – tiesiogiai stebimo gydymo strategija</w:t>
      </w:r>
      <w:r>
        <w:rPr>
          <w:rFonts w:ascii="Times New Roman" w:hAnsi="Times New Roman" w:cs="Times New Roman"/>
          <w:spacing w:val="2"/>
          <w:sz w:val="24"/>
          <w:szCs w:val="24"/>
          <w:shd w:val="clear" w:color="auto" w:fill="FFFFFF"/>
        </w:rPr>
        <w:t>, padedanti kontroliuoti ir stebėti sergančiųjų gydymą ir užtikrinanti gydymo kurso užbaigimą. Rekomenduojama užtikrinti Pagėgių sav. DOTS kabineto darbo veiklą, kad sergantieji galėtų naudotis šia paslauga.</w:t>
      </w:r>
    </w:p>
    <w:p w:rsidR="00236CDA" w:rsidRPr="002D10A5" w:rsidRDefault="00236CDA" w:rsidP="009E6454">
      <w:pPr>
        <w:spacing w:after="0"/>
        <w:ind w:firstLine="1021"/>
        <w:jc w:val="both"/>
        <w:rPr>
          <w:rFonts w:ascii="Times New Roman" w:hAnsi="Times New Roman" w:cs="Times New Roman"/>
          <w:sz w:val="24"/>
          <w:szCs w:val="24"/>
        </w:rPr>
      </w:pPr>
      <w:r>
        <w:rPr>
          <w:rFonts w:ascii="Times New Roman" w:hAnsi="Times New Roman" w:cs="Times New Roman"/>
          <w:sz w:val="24"/>
          <w:szCs w:val="24"/>
        </w:rPr>
        <w:t>Rekomenduojama siekti</w:t>
      </w:r>
      <w:r w:rsidRPr="002D10A5">
        <w:rPr>
          <w:rFonts w:ascii="Times New Roman" w:hAnsi="Times New Roman" w:cs="Times New Roman"/>
          <w:sz w:val="24"/>
          <w:szCs w:val="24"/>
        </w:rPr>
        <w:t xml:space="preserve">, kad Lietuvos Respublikos Vyriausybės nustatyta tvarka darbuotojams, dirbantiems maisto gamyboje, sveikatos priežiūros srityje, vaikų mokymo ir auklėjimo srityje, paslaugų teikimo gyventojams srityse ir kitose veiklos srityse, būtų vykdomas profilaktinis patikrinimas dėl tuberkuliozės prieš pradedant dirbti ir kasmet dirbant. </w:t>
      </w:r>
    </w:p>
    <w:p w:rsidR="00236CDA" w:rsidRPr="002D10A5" w:rsidRDefault="00236CDA" w:rsidP="00AD2687">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Vadovaujantis Lietuvos Respublikos sveikatos apsaugos ministro 2016 m. birželio 23 d. įsakymu Nr. V-837 „Tuberkulioze sergančių asmenų išaiškinimo ir atvejo valdymo tvarkos aprašu“</w:t>
      </w:r>
      <w:r>
        <w:rPr>
          <w:rFonts w:ascii="Times New Roman" w:hAnsi="Times New Roman" w:cs="Times New Roman"/>
          <w:sz w:val="24"/>
          <w:szCs w:val="24"/>
        </w:rPr>
        <w:t>,</w:t>
      </w:r>
      <w:r w:rsidRPr="002D10A5">
        <w:rPr>
          <w:rFonts w:ascii="Times New Roman" w:hAnsi="Times New Roman" w:cs="Times New Roman"/>
          <w:sz w:val="24"/>
          <w:szCs w:val="24"/>
        </w:rPr>
        <w:t xml:space="preserve"> skatinti asmenis patenkančius į rizikos grupes profilaktiškai tikrintis dėl tuberkuliozės ir užtikrinti gydymo plano vykdymą sergantiems asmenims. Informuoti rizikos grupes apie sveikatos tikrinimosi svarbą, tuberkuliozės ligos pavojų pačiam asmeniui ir aplinkiniams.</w:t>
      </w:r>
    </w:p>
    <w:p w:rsidR="00236CDA" w:rsidRPr="002D10A5" w:rsidRDefault="00236CDA" w:rsidP="008F2026">
      <w:pPr>
        <w:spacing w:after="0"/>
        <w:ind w:firstLine="1021"/>
        <w:jc w:val="both"/>
        <w:rPr>
          <w:rFonts w:ascii="Times New Roman" w:hAnsi="Times New Roman" w:cs="Times New Roman"/>
          <w:sz w:val="24"/>
          <w:szCs w:val="24"/>
        </w:rPr>
      </w:pPr>
      <w:r>
        <w:rPr>
          <w:rFonts w:ascii="Times New Roman" w:hAnsi="Times New Roman" w:cs="Times New Roman"/>
          <w:sz w:val="24"/>
          <w:szCs w:val="24"/>
        </w:rPr>
        <w:t>I</w:t>
      </w:r>
      <w:r w:rsidRPr="002D10A5">
        <w:rPr>
          <w:rFonts w:ascii="Times New Roman" w:hAnsi="Times New Roman" w:cs="Times New Roman"/>
          <w:sz w:val="24"/>
          <w:szCs w:val="24"/>
        </w:rPr>
        <w:t>nformuoti tėvus, kad kreiptųsi į ASPĮ, Sveikatos apsaugos ministerijos nustatyta tvarka atlikti tuberkulino testus. Testai atliekami 7 metų amžiaus vaikams ir rizikos grupių vaikams (bendraujantiems su sergančiais TB šeimoje ar kolektyve, sergantiems lėtinėmis ligomis ir kt.).</w:t>
      </w:r>
    </w:p>
    <w:p w:rsidR="00236CDA" w:rsidRPr="002D10A5" w:rsidRDefault="00236CDA" w:rsidP="00AD2687">
      <w:pPr>
        <w:spacing w:after="0"/>
        <w:ind w:firstLine="1021"/>
        <w:jc w:val="both"/>
        <w:rPr>
          <w:rFonts w:ascii="Times New Roman" w:hAnsi="Times New Roman" w:cs="Times New Roman"/>
          <w:sz w:val="24"/>
          <w:szCs w:val="24"/>
        </w:rPr>
      </w:pPr>
      <w:r w:rsidRPr="002D10A5">
        <w:rPr>
          <w:rFonts w:ascii="Times New Roman" w:hAnsi="Times New Roman" w:cs="Times New Roman"/>
          <w:sz w:val="24"/>
          <w:szCs w:val="24"/>
        </w:rPr>
        <w:t>Organizuoti renginius</w:t>
      </w:r>
      <w:r>
        <w:rPr>
          <w:rFonts w:ascii="Times New Roman" w:hAnsi="Times New Roman" w:cs="Times New Roman"/>
          <w:sz w:val="24"/>
          <w:szCs w:val="24"/>
        </w:rPr>
        <w:t>, paskaitas ir užsiėmimus,</w:t>
      </w:r>
      <w:r w:rsidRPr="002D10A5">
        <w:rPr>
          <w:rFonts w:ascii="Times New Roman" w:hAnsi="Times New Roman" w:cs="Times New Roman"/>
          <w:sz w:val="24"/>
          <w:szCs w:val="24"/>
        </w:rPr>
        <w:t xml:space="preserve"> susijusius su tuberkuliozės prevencija ir profilaktika, viešinti informaciją apie socialinės aplinkos ir gerovės, bei higienos svarbą, sergant tuberkulioze arba norint jos išvengti (pranešimai, paskaitos, lankstinukai, informacijos viešinimas internetinėje erdvėje).</w:t>
      </w:r>
    </w:p>
    <w:p w:rsidR="00236CDA" w:rsidRPr="002D10A5" w:rsidRDefault="00236CDA" w:rsidP="00D410AD">
      <w:pPr>
        <w:pStyle w:val="ListParagraph"/>
        <w:numPr>
          <w:ilvl w:val="0"/>
          <w:numId w:val="14"/>
        </w:numPr>
        <w:spacing w:after="0"/>
        <w:ind w:left="1134" w:firstLine="0"/>
        <w:jc w:val="both"/>
        <w:rPr>
          <w:rFonts w:ascii="Times New Roman" w:hAnsi="Times New Roman" w:cs="Times New Roman"/>
          <w:b/>
          <w:bCs/>
          <w:sz w:val="24"/>
          <w:szCs w:val="24"/>
        </w:rPr>
      </w:pPr>
      <w:r w:rsidRPr="002D10A5">
        <w:rPr>
          <w:rFonts w:ascii="Times New Roman" w:hAnsi="Times New Roman" w:cs="Times New Roman"/>
          <w:b/>
          <w:bCs/>
          <w:sz w:val="24"/>
          <w:szCs w:val="24"/>
        </w:rPr>
        <w:t>Rekomendacijos</w:t>
      </w:r>
      <w:r>
        <w:rPr>
          <w:rFonts w:ascii="Times New Roman" w:hAnsi="Times New Roman" w:cs="Times New Roman"/>
          <w:b/>
          <w:bCs/>
          <w:sz w:val="24"/>
          <w:szCs w:val="24"/>
        </w:rPr>
        <w:t xml:space="preserve"> </w:t>
      </w:r>
      <w:r w:rsidRPr="002D10A5">
        <w:rPr>
          <w:rFonts w:ascii="Times New Roman" w:hAnsi="Times New Roman" w:cs="Times New Roman"/>
          <w:b/>
          <w:bCs/>
          <w:sz w:val="24"/>
          <w:szCs w:val="24"/>
        </w:rPr>
        <w:t>išvengiamo mirtingumo srities gerinimui:</w:t>
      </w:r>
    </w:p>
    <w:p w:rsidR="00236CDA" w:rsidRDefault="00236CDA" w:rsidP="002E4595">
      <w:pPr>
        <w:pStyle w:val="ListParagraph"/>
        <w:spacing w:after="0"/>
        <w:ind w:left="0" w:firstLine="993"/>
        <w:jc w:val="both"/>
        <w:rPr>
          <w:rFonts w:ascii="Times New Roman" w:hAnsi="Times New Roman" w:cs="Times New Roman"/>
          <w:sz w:val="24"/>
          <w:szCs w:val="24"/>
        </w:rPr>
      </w:pPr>
      <w:r>
        <w:rPr>
          <w:rFonts w:ascii="Times New Roman" w:hAnsi="Times New Roman" w:cs="Times New Roman"/>
          <w:sz w:val="24"/>
          <w:szCs w:val="24"/>
        </w:rPr>
        <w:t xml:space="preserve">Atsižvelgiant į tai, kad išvengiamo mirtingumo </w:t>
      </w:r>
      <w:r w:rsidRPr="00B718C4">
        <w:rPr>
          <w:rFonts w:ascii="Times New Roman" w:hAnsi="Times New Roman" w:cs="Times New Roman"/>
          <w:sz w:val="24"/>
          <w:szCs w:val="24"/>
        </w:rPr>
        <w:t>galima išvengti taikant žinomas efektyvias prevencijos ir/ar diagnostikos priemones ir/ar gydymo priemones</w:t>
      </w:r>
      <w:r>
        <w:rPr>
          <w:rFonts w:ascii="Times New Roman" w:hAnsi="Times New Roman" w:cs="Times New Roman"/>
          <w:sz w:val="24"/>
          <w:szCs w:val="24"/>
        </w:rPr>
        <w:t xml:space="preserve"> bei priežastis ir bendrą Pagėgių savivaldybės Visuomenės sveikatos būklę, rekomenduojama didelį dėmesį skirti prevencinių programų vykdymui.</w:t>
      </w:r>
    </w:p>
    <w:p w:rsidR="00236CDA" w:rsidRDefault="00236CDA" w:rsidP="002E4595">
      <w:pPr>
        <w:pStyle w:val="ListParagraph"/>
        <w:spacing w:after="0"/>
        <w:ind w:left="0" w:firstLine="993"/>
        <w:jc w:val="both"/>
        <w:rPr>
          <w:rFonts w:ascii="Times New Roman" w:hAnsi="Times New Roman" w:cs="Times New Roman"/>
          <w:sz w:val="24"/>
          <w:szCs w:val="24"/>
        </w:rPr>
      </w:pPr>
      <w:r>
        <w:rPr>
          <w:rFonts w:ascii="Times New Roman" w:hAnsi="Times New Roman" w:cs="Times New Roman"/>
          <w:sz w:val="24"/>
          <w:szCs w:val="24"/>
        </w:rPr>
        <w:t xml:space="preserve">Svarbu atkreipti dėmesį į ligų prevenciją ir profilaktiką, ir tai taikyti kuo jaunesniame amžiuje. Rekomenduojama skatinti vaikus laikytis sveikos gyvensenos ir mitybos įgūdžių, ugdyti sveiką naująją kartą nuo pat mažų dienų, tokiu būdu siekiant sumažinti sergamumą ir mirtingumą. </w:t>
      </w:r>
    </w:p>
    <w:p w:rsidR="00236CDA" w:rsidRDefault="00236CDA" w:rsidP="002E4595">
      <w:pPr>
        <w:pStyle w:val="ListParagraph"/>
        <w:spacing w:after="0"/>
        <w:ind w:left="0" w:firstLine="993"/>
        <w:jc w:val="both"/>
        <w:rPr>
          <w:rFonts w:ascii="Times New Roman" w:hAnsi="Times New Roman" w:cs="Times New Roman"/>
          <w:sz w:val="24"/>
          <w:szCs w:val="24"/>
        </w:rPr>
      </w:pPr>
      <w:r>
        <w:rPr>
          <w:rFonts w:ascii="Times New Roman" w:hAnsi="Times New Roman" w:cs="Times New Roman"/>
          <w:sz w:val="24"/>
          <w:szCs w:val="24"/>
        </w:rPr>
        <w:t>Šioje srityje labai svarbi vakcinacija. Svarbu teikti informaciją tėvams ir Savivaldybės gyventojams apie rekomenduojamų skiepų svarbą ir naudą, taip pat informuoti apie galimybę pasiskiepyti papildomais skiepais, siekiant išvengti ligų ar mirtingumo.</w:t>
      </w:r>
    </w:p>
    <w:p w:rsidR="00236CDA" w:rsidRDefault="00236CDA" w:rsidP="002E4595">
      <w:pPr>
        <w:pStyle w:val="ListParagraph"/>
        <w:spacing w:after="0"/>
        <w:ind w:left="0" w:firstLine="993"/>
        <w:jc w:val="both"/>
        <w:rPr>
          <w:rFonts w:ascii="Times New Roman" w:hAnsi="Times New Roman" w:cs="Times New Roman"/>
          <w:sz w:val="24"/>
          <w:szCs w:val="24"/>
        </w:rPr>
      </w:pPr>
      <w:r>
        <w:rPr>
          <w:rFonts w:ascii="Times New Roman" w:hAnsi="Times New Roman" w:cs="Times New Roman"/>
          <w:sz w:val="24"/>
          <w:szCs w:val="24"/>
        </w:rPr>
        <w:t xml:space="preserve">Taip pat rekomenduojama didinti gyventojų informuotumą apie </w:t>
      </w:r>
      <w:r w:rsidRPr="001E1C58">
        <w:rPr>
          <w:rFonts w:ascii="Times New Roman" w:hAnsi="Times New Roman" w:cs="Times New Roman"/>
          <w:sz w:val="24"/>
          <w:szCs w:val="24"/>
        </w:rPr>
        <w:t xml:space="preserve">atrankinės mamografinės patikros dėl krūties vėžio </w:t>
      </w:r>
      <w:r>
        <w:rPr>
          <w:rFonts w:ascii="Times New Roman" w:hAnsi="Times New Roman" w:cs="Times New Roman"/>
          <w:sz w:val="24"/>
          <w:szCs w:val="24"/>
        </w:rPr>
        <w:t xml:space="preserve">programą, </w:t>
      </w:r>
      <w:r w:rsidRPr="001E1C58">
        <w:rPr>
          <w:rFonts w:ascii="Times New Roman" w:hAnsi="Times New Roman" w:cs="Times New Roman"/>
          <w:sz w:val="24"/>
          <w:szCs w:val="24"/>
        </w:rPr>
        <w:t>gimdos kaklelio piktybin</w:t>
      </w:r>
      <w:r>
        <w:rPr>
          <w:rFonts w:ascii="Times New Roman" w:hAnsi="Times New Roman" w:cs="Times New Roman"/>
          <w:sz w:val="24"/>
          <w:szCs w:val="24"/>
        </w:rPr>
        <w:t xml:space="preserve">ių navikų prevencinių priemonių </w:t>
      </w:r>
      <w:r w:rsidRPr="001E1C58">
        <w:rPr>
          <w:rFonts w:ascii="Times New Roman" w:hAnsi="Times New Roman" w:cs="Times New Roman"/>
          <w:sz w:val="24"/>
          <w:szCs w:val="24"/>
        </w:rPr>
        <w:t xml:space="preserve"> </w:t>
      </w:r>
      <w:r>
        <w:rPr>
          <w:rFonts w:ascii="Times New Roman" w:hAnsi="Times New Roman" w:cs="Times New Roman"/>
          <w:sz w:val="24"/>
          <w:szCs w:val="24"/>
        </w:rPr>
        <w:t xml:space="preserve">programą, </w:t>
      </w:r>
      <w:r w:rsidRPr="001E1C58">
        <w:rPr>
          <w:rFonts w:ascii="Times New Roman" w:hAnsi="Times New Roman" w:cs="Times New Roman"/>
          <w:sz w:val="24"/>
          <w:szCs w:val="24"/>
        </w:rPr>
        <w:t>storosios žarnos vėžio ankstyvosios dia</w:t>
      </w:r>
      <w:r>
        <w:rPr>
          <w:rFonts w:ascii="Times New Roman" w:hAnsi="Times New Roman" w:cs="Times New Roman"/>
          <w:sz w:val="24"/>
          <w:szCs w:val="24"/>
        </w:rPr>
        <w:t>gnostikos finansavimo programą,</w:t>
      </w:r>
      <w:r w:rsidRPr="009A7991">
        <w:rPr>
          <w:rFonts w:ascii="Times New Roman" w:hAnsi="Times New Roman" w:cs="Times New Roman"/>
          <w:sz w:val="24"/>
          <w:szCs w:val="24"/>
        </w:rPr>
        <w:t xml:space="preserve"> priešinės liaukos vėžio ankstyvosios</w:t>
      </w:r>
      <w:r>
        <w:rPr>
          <w:rFonts w:ascii="Times New Roman" w:hAnsi="Times New Roman" w:cs="Times New Roman"/>
          <w:sz w:val="24"/>
          <w:szCs w:val="24"/>
        </w:rPr>
        <w:t xml:space="preserve"> diagnostikos programą,</w:t>
      </w:r>
      <w:r w:rsidRPr="009A7991">
        <w:rPr>
          <w:rFonts w:ascii="Times New Roman" w:hAnsi="Times New Roman" w:cs="Times New Roman"/>
          <w:sz w:val="24"/>
          <w:szCs w:val="24"/>
        </w:rPr>
        <w:t xml:space="preserve"> </w:t>
      </w:r>
      <w:r>
        <w:rPr>
          <w:rFonts w:ascii="Times New Roman" w:hAnsi="Times New Roman" w:cs="Times New Roman"/>
          <w:sz w:val="24"/>
          <w:szCs w:val="24"/>
        </w:rPr>
        <w:t xml:space="preserve">asmenų, </w:t>
      </w:r>
      <w:r w:rsidRPr="001E1C58">
        <w:rPr>
          <w:rFonts w:ascii="Times New Roman" w:hAnsi="Times New Roman" w:cs="Times New Roman"/>
          <w:sz w:val="24"/>
          <w:szCs w:val="24"/>
        </w:rPr>
        <w:t xml:space="preserve">priskirtinų širdies ir kraujagyslių </w:t>
      </w:r>
      <w:r>
        <w:rPr>
          <w:rFonts w:ascii="Times New Roman" w:hAnsi="Times New Roman" w:cs="Times New Roman"/>
          <w:sz w:val="24"/>
          <w:szCs w:val="24"/>
        </w:rPr>
        <w:t xml:space="preserve">bei cukrinio diabeto </w:t>
      </w:r>
      <w:r w:rsidRPr="001E1C58">
        <w:rPr>
          <w:rFonts w:ascii="Times New Roman" w:hAnsi="Times New Roman" w:cs="Times New Roman"/>
          <w:sz w:val="24"/>
          <w:szCs w:val="24"/>
        </w:rPr>
        <w:t xml:space="preserve">ligų didelės rizikos grupei, atrankos ir prevencijos </w:t>
      </w:r>
      <w:r>
        <w:rPr>
          <w:rFonts w:ascii="Times New Roman" w:hAnsi="Times New Roman" w:cs="Times New Roman"/>
          <w:sz w:val="24"/>
          <w:szCs w:val="24"/>
        </w:rPr>
        <w:t xml:space="preserve">programą. </w:t>
      </w:r>
    </w:p>
    <w:p w:rsidR="00236CDA" w:rsidRPr="002D10A5" w:rsidRDefault="00236CDA" w:rsidP="002E4595">
      <w:pPr>
        <w:pStyle w:val="ListParagraph"/>
        <w:spacing w:after="0"/>
        <w:ind w:left="0" w:firstLine="993"/>
        <w:jc w:val="both"/>
        <w:rPr>
          <w:rFonts w:ascii="Times New Roman" w:hAnsi="Times New Roman" w:cs="Times New Roman"/>
          <w:sz w:val="24"/>
          <w:szCs w:val="24"/>
        </w:rPr>
      </w:pPr>
      <w:r>
        <w:rPr>
          <w:rFonts w:ascii="Times New Roman" w:hAnsi="Times New Roman" w:cs="Times New Roman"/>
          <w:sz w:val="24"/>
          <w:szCs w:val="24"/>
        </w:rPr>
        <w:t>Labai svarbu vykdyti pirminę profilaktiką naudojant visuomenės informavimo priemones, organizuojant renginius, prevencines akcijas.</w:t>
      </w:r>
    </w:p>
    <w:p w:rsidR="00236CDA" w:rsidRPr="002D10A5" w:rsidRDefault="00236CDA" w:rsidP="007D199D">
      <w:pPr>
        <w:pStyle w:val="ListParagraph"/>
        <w:numPr>
          <w:ilvl w:val="0"/>
          <w:numId w:val="14"/>
        </w:numPr>
        <w:spacing w:after="0"/>
        <w:ind w:left="993" w:firstLine="0"/>
        <w:jc w:val="both"/>
        <w:rPr>
          <w:rFonts w:ascii="Times New Roman" w:hAnsi="Times New Roman" w:cs="Times New Roman"/>
          <w:b/>
          <w:bCs/>
          <w:sz w:val="24"/>
          <w:szCs w:val="24"/>
        </w:rPr>
      </w:pPr>
      <w:r w:rsidRPr="002D10A5">
        <w:rPr>
          <w:rFonts w:ascii="Times New Roman" w:hAnsi="Times New Roman" w:cs="Times New Roman"/>
          <w:b/>
          <w:bCs/>
          <w:sz w:val="24"/>
          <w:szCs w:val="24"/>
        </w:rPr>
        <w:t>Rekomendacijos mirtingumo/ standartizuoto mirtingumo nuo piktybinių navikų mažinimui:</w:t>
      </w:r>
    </w:p>
    <w:p w:rsidR="00236CDA" w:rsidRPr="002D10A5" w:rsidRDefault="00236CDA" w:rsidP="00F91B67">
      <w:pPr>
        <w:pStyle w:val="ListParagraph"/>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Pagal kompetenciją vykdyti Lietuvos Respublikos sveikatos apsaugos ministro 2014 m. liepos 16 d. įsakymu Nr. V-814 patvirtintą „Nacionalinę vėžio profilaktikos ir kontrolės 2014–2025 metų programą“. </w:t>
      </w:r>
    </w:p>
    <w:p w:rsidR="00236CDA" w:rsidRPr="002D10A5" w:rsidRDefault="00236CDA" w:rsidP="00F91B67">
      <w:pPr>
        <w:pStyle w:val="ListParagraph"/>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Rengti šviečiamąsias programas ir diegti informavimo priemones, supažindinančias Savivaldybės gyventojus, pacientus, jų artimuosius ir visuomenę su sveikos mitybos, sveikos gyvensenos teikiama nauda sveikatai, taip pat įtaka onkologinių susirgimų prevencijai.</w:t>
      </w:r>
    </w:p>
    <w:p w:rsidR="00236CDA" w:rsidRDefault="00236CDA" w:rsidP="007B4063">
      <w:pPr>
        <w:pStyle w:val="ListParagraph"/>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Siekti kuo ankstyvesnio onkologinių ligų išaiškinimo, tuo pačiu sumažinti mirtingumą dėl išvengiamų ligų ir būklių.</w:t>
      </w:r>
    </w:p>
    <w:p w:rsidR="00236CDA" w:rsidRDefault="00236CDA" w:rsidP="00B31931">
      <w:pPr>
        <w:pStyle w:val="ListParagraph"/>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 xml:space="preserve"> Informuoti gyventojus apie atrankinės patikros dėl onkologinių ligų programų, biomedicininių ir klinikinių tyrimų teikiamą naudą. Renginių metu išdalinti lankstinukų ir skrajučių apie galimybę dalyvauti atrankinės mamografinės patikros dėl krūties vėžio programoje, asmenų, priskirtinų širdies ir kraujagyslių ligų didelės rizikos grupei, atrankos ir prevencijos priemonių programoje, gimdos kaklelio piktybinių navikų prevencinių priemonių programoje ir storosios žarnos vėžio </w:t>
      </w:r>
      <w:r>
        <w:rPr>
          <w:rFonts w:ascii="Times New Roman" w:hAnsi="Times New Roman" w:cs="Times New Roman"/>
          <w:sz w:val="24"/>
          <w:szCs w:val="24"/>
        </w:rPr>
        <w:t xml:space="preserve">bei  </w:t>
      </w:r>
      <w:r w:rsidRPr="00B41E3D">
        <w:rPr>
          <w:rFonts w:ascii="Times New Roman" w:hAnsi="Times New Roman" w:cs="Times New Roman"/>
          <w:sz w:val="24"/>
          <w:szCs w:val="24"/>
        </w:rPr>
        <w:t xml:space="preserve">priešinės liaukos vėžio </w:t>
      </w:r>
      <w:r w:rsidRPr="002D10A5">
        <w:rPr>
          <w:rFonts w:ascii="Times New Roman" w:hAnsi="Times New Roman" w:cs="Times New Roman"/>
          <w:sz w:val="24"/>
          <w:szCs w:val="24"/>
        </w:rPr>
        <w:t xml:space="preserve">ankstyvosios diagnostikos programoje. </w:t>
      </w:r>
    </w:p>
    <w:p w:rsidR="00236CDA" w:rsidRPr="002D10A5" w:rsidRDefault="00236CDA" w:rsidP="00B31931">
      <w:pPr>
        <w:pStyle w:val="ListParagraph"/>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Siekti, kad prevencinių programų įvykdymo rodikliai Pagėgių savivaldybėje būtų „žaliojoje z</w:t>
      </w:r>
      <w:r>
        <w:rPr>
          <w:rFonts w:ascii="Times New Roman" w:hAnsi="Times New Roman" w:cs="Times New Roman"/>
          <w:sz w:val="24"/>
          <w:szCs w:val="24"/>
        </w:rPr>
        <w:t>onoje“ ir atspindėtų geriausius</w:t>
      </w:r>
      <w:r w:rsidRPr="002D10A5">
        <w:rPr>
          <w:rFonts w:ascii="Times New Roman" w:hAnsi="Times New Roman" w:cs="Times New Roman"/>
          <w:sz w:val="24"/>
          <w:szCs w:val="24"/>
        </w:rPr>
        <w:t>, atitinkamus rodiklius Lietuvoje.</w:t>
      </w:r>
    </w:p>
    <w:p w:rsidR="00236CDA" w:rsidRDefault="00236CDA" w:rsidP="00F91B67">
      <w:pPr>
        <w:pStyle w:val="ListParagraph"/>
        <w:spacing w:after="0"/>
        <w:ind w:left="0" w:firstLine="1021"/>
        <w:jc w:val="both"/>
        <w:rPr>
          <w:rFonts w:ascii="Times New Roman" w:hAnsi="Times New Roman" w:cs="Times New Roman"/>
          <w:sz w:val="24"/>
          <w:szCs w:val="24"/>
        </w:rPr>
      </w:pPr>
      <w:r w:rsidRPr="002D10A5">
        <w:rPr>
          <w:rFonts w:ascii="Times New Roman" w:hAnsi="Times New Roman" w:cs="Times New Roman"/>
          <w:sz w:val="24"/>
          <w:szCs w:val="24"/>
        </w:rPr>
        <w:t>Organizuoti sergantiems onkologinėmis ligomis psichologinę, socialinę ir dvasinę pagalbą, skatinti psichologinės pagalbos teikimą.</w:t>
      </w:r>
    </w:p>
    <w:p w:rsidR="00236CDA" w:rsidRDefault="00236CDA" w:rsidP="00F91B67">
      <w:pPr>
        <w:pStyle w:val="ListParagraph"/>
        <w:spacing w:after="0"/>
        <w:ind w:left="0" w:firstLine="1021"/>
        <w:jc w:val="both"/>
        <w:rPr>
          <w:rFonts w:ascii="Times New Roman" w:hAnsi="Times New Roman" w:cs="Times New Roman"/>
          <w:sz w:val="24"/>
          <w:szCs w:val="24"/>
        </w:rPr>
      </w:pPr>
      <w:r>
        <w:rPr>
          <w:rFonts w:ascii="Times New Roman" w:hAnsi="Times New Roman" w:cs="Times New Roman"/>
          <w:sz w:val="24"/>
          <w:szCs w:val="24"/>
        </w:rPr>
        <w:t>Nuo 2017 m. vasario mėn.  Sveikatos apsaugos ministerija ir m</w:t>
      </w:r>
      <w:r w:rsidRPr="00C37111">
        <w:rPr>
          <w:rFonts w:ascii="Times New Roman" w:hAnsi="Times New Roman" w:cs="Times New Roman"/>
          <w:sz w:val="24"/>
          <w:szCs w:val="24"/>
        </w:rPr>
        <w:t>obiliųjų tinklų operatoriai </w:t>
      </w:r>
      <w:r>
        <w:rPr>
          <w:rFonts w:ascii="Times New Roman" w:hAnsi="Times New Roman" w:cs="Times New Roman"/>
          <w:sz w:val="24"/>
          <w:szCs w:val="24"/>
        </w:rPr>
        <w:t>kartu susivienijo iniciatyvai „Kylame į kovą su vėžiu“. Šios iniciatyvos metu gyventojams bus išsiuntinėtos žinutės su raginimais dalyvauti prevencinėse programose. Rekomenduojama gyventojams pasinaudoti gauta informacija ir pasitikrinti savo sveikatą pagal prevencines programas, finansuojamas iš Privalomojo sveikatos draudimo biudžeto lėšų.</w:t>
      </w:r>
    </w:p>
    <w:p w:rsidR="00236CDA" w:rsidRPr="002D10A5" w:rsidRDefault="00236CDA" w:rsidP="00F91B67">
      <w:pPr>
        <w:pStyle w:val="ListParagraph"/>
        <w:spacing w:after="0"/>
        <w:ind w:left="0" w:firstLine="1021"/>
        <w:jc w:val="both"/>
        <w:rPr>
          <w:rFonts w:ascii="Times New Roman" w:hAnsi="Times New Roman" w:cs="Times New Roman"/>
          <w:sz w:val="24"/>
          <w:szCs w:val="24"/>
        </w:rPr>
      </w:pPr>
    </w:p>
    <w:p w:rsidR="00236CDA" w:rsidRPr="002D10A5" w:rsidRDefault="00236CDA" w:rsidP="00285B29">
      <w:pPr>
        <w:spacing w:after="0"/>
        <w:jc w:val="center"/>
        <w:rPr>
          <w:rFonts w:ascii="Times New Roman" w:hAnsi="Times New Roman" w:cs="Times New Roman"/>
          <w:b/>
          <w:bCs/>
          <w:sz w:val="24"/>
          <w:szCs w:val="24"/>
        </w:rPr>
      </w:pPr>
      <w:r w:rsidRPr="002D10A5">
        <w:rPr>
          <w:rFonts w:ascii="Times New Roman" w:hAnsi="Times New Roman" w:cs="Times New Roman"/>
          <w:sz w:val="24"/>
          <w:szCs w:val="24"/>
        </w:rPr>
        <w:t>_____________________________________</w:t>
      </w:r>
    </w:p>
    <w:sectPr w:rsidR="00236CDA" w:rsidRPr="002D10A5" w:rsidSect="004B5867">
      <w:pgSz w:w="12240" w:h="15840"/>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CDA" w:rsidRDefault="00236CDA" w:rsidP="001B1FDB">
      <w:pPr>
        <w:spacing w:after="0" w:line="240" w:lineRule="auto"/>
      </w:pPr>
      <w:r>
        <w:separator/>
      </w:r>
    </w:p>
  </w:endnote>
  <w:endnote w:type="continuationSeparator" w:id="0">
    <w:p w:rsidR="00236CDA" w:rsidRDefault="00236CDA" w:rsidP="001B1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DA" w:rsidRDefault="00236CDA">
    <w:pPr>
      <w:pStyle w:val="Footer"/>
      <w:jc w:val="right"/>
    </w:pPr>
    <w:fldSimple w:instr=" PAGE   \* MERGEFORMAT ">
      <w:r>
        <w:rPr>
          <w:noProof/>
        </w:rPr>
        <w:t>19</w:t>
      </w:r>
    </w:fldSimple>
  </w:p>
  <w:p w:rsidR="00236CDA" w:rsidRDefault="00236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CDA" w:rsidRDefault="00236CDA" w:rsidP="001B1FDB">
      <w:pPr>
        <w:spacing w:after="0" w:line="240" w:lineRule="auto"/>
      </w:pPr>
      <w:r>
        <w:separator/>
      </w:r>
    </w:p>
  </w:footnote>
  <w:footnote w:type="continuationSeparator" w:id="0">
    <w:p w:rsidR="00236CDA" w:rsidRDefault="00236CDA" w:rsidP="001B1F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EA4"/>
    <w:multiLevelType w:val="hybridMultilevel"/>
    <w:tmpl w:val="4F8290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257D6F"/>
    <w:multiLevelType w:val="hybridMultilevel"/>
    <w:tmpl w:val="A3CC773A"/>
    <w:lvl w:ilvl="0" w:tplc="024EAD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8525A25"/>
    <w:multiLevelType w:val="hybridMultilevel"/>
    <w:tmpl w:val="D36C6420"/>
    <w:lvl w:ilvl="0" w:tplc="BB0EA3C2">
      <w:start w:val="1"/>
      <w:numFmt w:val="decimal"/>
      <w:suff w:val="nothing"/>
      <w:lvlText w:val="%1."/>
      <w:lvlJc w:val="left"/>
      <w:pPr>
        <w:ind w:left="786" w:hanging="360"/>
      </w:pPr>
      <w:rPr>
        <w:rFonts w:ascii="Times New Roman" w:eastAsia="Times New Roman" w:hAnsi="Times New Roman"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17B522B1"/>
    <w:multiLevelType w:val="multilevel"/>
    <w:tmpl w:val="6066B470"/>
    <w:lvl w:ilvl="0">
      <w:start w:val="1"/>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1C66DB1"/>
    <w:multiLevelType w:val="hybridMultilevel"/>
    <w:tmpl w:val="A03EE4BC"/>
    <w:lvl w:ilvl="0" w:tplc="AEF22F3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5">
    <w:nsid w:val="22DD383B"/>
    <w:multiLevelType w:val="hybridMultilevel"/>
    <w:tmpl w:val="C69E4BE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hint="default"/>
      </w:rPr>
    </w:lvl>
    <w:lvl w:ilvl="8" w:tplc="04090005">
      <w:start w:val="1"/>
      <w:numFmt w:val="bullet"/>
      <w:lvlText w:val=""/>
      <w:lvlJc w:val="left"/>
      <w:pPr>
        <w:ind w:left="7614" w:hanging="360"/>
      </w:pPr>
      <w:rPr>
        <w:rFonts w:ascii="Wingdings" w:hAnsi="Wingdings" w:hint="default"/>
      </w:rPr>
    </w:lvl>
  </w:abstractNum>
  <w:abstractNum w:abstractNumId="6">
    <w:nsid w:val="22FF5486"/>
    <w:multiLevelType w:val="hybridMultilevel"/>
    <w:tmpl w:val="40E60E84"/>
    <w:lvl w:ilvl="0" w:tplc="5BE60DA2">
      <w:start w:val="1"/>
      <w:numFmt w:val="decimal"/>
      <w:lvlText w:val="%1."/>
      <w:lvlJc w:val="left"/>
      <w:pPr>
        <w:ind w:left="36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76506C6"/>
    <w:multiLevelType w:val="multilevel"/>
    <w:tmpl w:val="6E2A99A4"/>
    <w:lvl w:ilvl="0">
      <w:start w:val="1"/>
      <w:numFmt w:val="decimal"/>
      <w:lvlText w:val="%1."/>
      <w:lvlJc w:val="left"/>
      <w:pPr>
        <w:ind w:left="1080" w:hanging="360"/>
      </w:pPr>
      <w:rPr>
        <w:rFonts w:cs="Times New Roman" w:hint="default"/>
      </w:rPr>
    </w:lvl>
    <w:lvl w:ilvl="1">
      <w:start w:val="1"/>
      <w:numFmt w:val="decimal"/>
      <w:isLgl/>
      <w:lvlText w:val="%1.%2."/>
      <w:lvlJc w:val="left"/>
      <w:pPr>
        <w:ind w:left="1467" w:hanging="540"/>
      </w:pPr>
      <w:rPr>
        <w:rFonts w:cs="Times New Roman" w:hint="default"/>
      </w:rPr>
    </w:lvl>
    <w:lvl w:ilvl="2">
      <w:start w:val="2"/>
      <w:numFmt w:val="decimal"/>
      <w:isLgl/>
      <w:lvlText w:val="%1.%2.%3."/>
      <w:lvlJc w:val="left"/>
      <w:pPr>
        <w:ind w:left="1854" w:hanging="720"/>
      </w:pPr>
      <w:rPr>
        <w:rFonts w:cs="Times New Roman" w:hint="default"/>
      </w:rPr>
    </w:lvl>
    <w:lvl w:ilvl="3">
      <w:start w:val="1"/>
      <w:numFmt w:val="decimal"/>
      <w:isLgl/>
      <w:lvlText w:val="%1.%2.%3.%4."/>
      <w:lvlJc w:val="left"/>
      <w:pPr>
        <w:ind w:left="2061" w:hanging="720"/>
      </w:pPr>
      <w:rPr>
        <w:rFonts w:cs="Times New Roman" w:hint="default"/>
      </w:rPr>
    </w:lvl>
    <w:lvl w:ilvl="4">
      <w:start w:val="1"/>
      <w:numFmt w:val="decimal"/>
      <w:isLgl/>
      <w:lvlText w:val="%1.%2.%3.%4.%5."/>
      <w:lvlJc w:val="left"/>
      <w:pPr>
        <w:ind w:left="2628" w:hanging="1080"/>
      </w:pPr>
      <w:rPr>
        <w:rFonts w:cs="Times New Roman" w:hint="default"/>
      </w:rPr>
    </w:lvl>
    <w:lvl w:ilvl="5">
      <w:start w:val="1"/>
      <w:numFmt w:val="decimal"/>
      <w:isLgl/>
      <w:lvlText w:val="%1.%2.%3.%4.%5.%6."/>
      <w:lvlJc w:val="left"/>
      <w:pPr>
        <w:ind w:left="2835" w:hanging="1080"/>
      </w:pPr>
      <w:rPr>
        <w:rFonts w:cs="Times New Roman" w:hint="default"/>
      </w:rPr>
    </w:lvl>
    <w:lvl w:ilvl="6">
      <w:start w:val="1"/>
      <w:numFmt w:val="decimal"/>
      <w:isLgl/>
      <w:lvlText w:val="%1.%2.%3.%4.%5.%6.%7."/>
      <w:lvlJc w:val="left"/>
      <w:pPr>
        <w:ind w:left="3402" w:hanging="1440"/>
      </w:pPr>
      <w:rPr>
        <w:rFonts w:cs="Times New Roman" w:hint="default"/>
      </w:rPr>
    </w:lvl>
    <w:lvl w:ilvl="7">
      <w:start w:val="1"/>
      <w:numFmt w:val="decimal"/>
      <w:isLgl/>
      <w:lvlText w:val="%1.%2.%3.%4.%5.%6.%7.%8."/>
      <w:lvlJc w:val="left"/>
      <w:pPr>
        <w:ind w:left="3609" w:hanging="1440"/>
      </w:pPr>
      <w:rPr>
        <w:rFonts w:cs="Times New Roman" w:hint="default"/>
      </w:rPr>
    </w:lvl>
    <w:lvl w:ilvl="8">
      <w:start w:val="1"/>
      <w:numFmt w:val="decimal"/>
      <w:isLgl/>
      <w:lvlText w:val="%1.%2.%3.%4.%5.%6.%7.%8.%9."/>
      <w:lvlJc w:val="left"/>
      <w:pPr>
        <w:ind w:left="4176" w:hanging="1800"/>
      </w:pPr>
      <w:rPr>
        <w:rFonts w:cs="Times New Roman" w:hint="default"/>
      </w:rPr>
    </w:lvl>
  </w:abstractNum>
  <w:abstractNum w:abstractNumId="8">
    <w:nsid w:val="33F74939"/>
    <w:multiLevelType w:val="hybridMultilevel"/>
    <w:tmpl w:val="27B6E6B4"/>
    <w:lvl w:ilvl="0" w:tplc="827C5A92">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9">
    <w:nsid w:val="433A5B7A"/>
    <w:multiLevelType w:val="hybridMultilevel"/>
    <w:tmpl w:val="28D60B0A"/>
    <w:lvl w:ilvl="0" w:tplc="D1AA0120">
      <w:start w:val="1"/>
      <w:numFmt w:val="decimal"/>
      <w:suff w:val="nothing"/>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4E3767DA"/>
    <w:multiLevelType w:val="hybridMultilevel"/>
    <w:tmpl w:val="CE8EC0BE"/>
    <w:lvl w:ilvl="0" w:tplc="66AE7618">
      <w:start w:val="1"/>
      <w:numFmt w:val="decimal"/>
      <w:lvlText w:val="%1."/>
      <w:lvlJc w:val="left"/>
      <w:pPr>
        <w:tabs>
          <w:tab w:val="num" w:pos="720"/>
        </w:tabs>
        <w:ind w:left="720" w:hanging="360"/>
      </w:pPr>
      <w:rPr>
        <w:rFonts w:ascii="Times New Roman" w:eastAsia="Times New Roman" w:hAnsi="Times New Roman"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573C6048"/>
    <w:multiLevelType w:val="hybridMultilevel"/>
    <w:tmpl w:val="480ED208"/>
    <w:lvl w:ilvl="0" w:tplc="04090001">
      <w:start w:val="1"/>
      <w:numFmt w:val="bullet"/>
      <w:lvlText w:val=""/>
      <w:lvlJc w:val="left"/>
      <w:pPr>
        <w:ind w:left="1741" w:hanging="360"/>
      </w:pPr>
      <w:rPr>
        <w:rFonts w:ascii="Symbol" w:hAnsi="Symbol" w:hint="default"/>
      </w:rPr>
    </w:lvl>
    <w:lvl w:ilvl="1" w:tplc="04090003">
      <w:start w:val="1"/>
      <w:numFmt w:val="bullet"/>
      <w:lvlText w:val="o"/>
      <w:lvlJc w:val="left"/>
      <w:pPr>
        <w:ind w:left="2461" w:hanging="360"/>
      </w:pPr>
      <w:rPr>
        <w:rFonts w:ascii="Courier New" w:hAnsi="Courier New" w:hint="default"/>
      </w:rPr>
    </w:lvl>
    <w:lvl w:ilvl="2" w:tplc="04090005">
      <w:start w:val="1"/>
      <w:numFmt w:val="bullet"/>
      <w:lvlText w:val=""/>
      <w:lvlJc w:val="left"/>
      <w:pPr>
        <w:ind w:left="3181" w:hanging="360"/>
      </w:pPr>
      <w:rPr>
        <w:rFonts w:ascii="Wingdings" w:hAnsi="Wingdings" w:hint="default"/>
      </w:rPr>
    </w:lvl>
    <w:lvl w:ilvl="3" w:tplc="04090001">
      <w:start w:val="1"/>
      <w:numFmt w:val="bullet"/>
      <w:lvlText w:val=""/>
      <w:lvlJc w:val="left"/>
      <w:pPr>
        <w:ind w:left="3901" w:hanging="360"/>
      </w:pPr>
      <w:rPr>
        <w:rFonts w:ascii="Symbol" w:hAnsi="Symbol" w:hint="default"/>
      </w:rPr>
    </w:lvl>
    <w:lvl w:ilvl="4" w:tplc="04090003">
      <w:start w:val="1"/>
      <w:numFmt w:val="bullet"/>
      <w:lvlText w:val="o"/>
      <w:lvlJc w:val="left"/>
      <w:pPr>
        <w:ind w:left="4621" w:hanging="360"/>
      </w:pPr>
      <w:rPr>
        <w:rFonts w:ascii="Courier New" w:hAnsi="Courier New" w:hint="default"/>
      </w:rPr>
    </w:lvl>
    <w:lvl w:ilvl="5" w:tplc="04090005">
      <w:start w:val="1"/>
      <w:numFmt w:val="bullet"/>
      <w:lvlText w:val=""/>
      <w:lvlJc w:val="left"/>
      <w:pPr>
        <w:ind w:left="5341" w:hanging="360"/>
      </w:pPr>
      <w:rPr>
        <w:rFonts w:ascii="Wingdings" w:hAnsi="Wingdings" w:hint="default"/>
      </w:rPr>
    </w:lvl>
    <w:lvl w:ilvl="6" w:tplc="04090001">
      <w:start w:val="1"/>
      <w:numFmt w:val="bullet"/>
      <w:lvlText w:val=""/>
      <w:lvlJc w:val="left"/>
      <w:pPr>
        <w:ind w:left="6061" w:hanging="360"/>
      </w:pPr>
      <w:rPr>
        <w:rFonts w:ascii="Symbol" w:hAnsi="Symbol" w:hint="default"/>
      </w:rPr>
    </w:lvl>
    <w:lvl w:ilvl="7" w:tplc="04090003">
      <w:start w:val="1"/>
      <w:numFmt w:val="bullet"/>
      <w:lvlText w:val="o"/>
      <w:lvlJc w:val="left"/>
      <w:pPr>
        <w:ind w:left="6781" w:hanging="360"/>
      </w:pPr>
      <w:rPr>
        <w:rFonts w:ascii="Courier New" w:hAnsi="Courier New" w:hint="default"/>
      </w:rPr>
    </w:lvl>
    <w:lvl w:ilvl="8" w:tplc="04090005">
      <w:start w:val="1"/>
      <w:numFmt w:val="bullet"/>
      <w:lvlText w:val=""/>
      <w:lvlJc w:val="left"/>
      <w:pPr>
        <w:ind w:left="7501" w:hanging="360"/>
      </w:pPr>
      <w:rPr>
        <w:rFonts w:ascii="Wingdings" w:hAnsi="Wingdings" w:hint="default"/>
      </w:rPr>
    </w:lvl>
  </w:abstractNum>
  <w:abstractNum w:abstractNumId="12">
    <w:nsid w:val="677D6E6A"/>
    <w:multiLevelType w:val="multilevel"/>
    <w:tmpl w:val="30CC86B8"/>
    <w:lvl w:ilvl="0">
      <w:start w:val="1"/>
      <w:numFmt w:val="decimal"/>
      <w:lvlText w:val="%1."/>
      <w:lvlJc w:val="left"/>
      <w:pPr>
        <w:ind w:left="1069" w:hanging="360"/>
      </w:pPr>
      <w:rPr>
        <w:rFonts w:cs="Times New Roman" w:hint="default"/>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76544CBC"/>
    <w:multiLevelType w:val="multilevel"/>
    <w:tmpl w:val="3A289F3E"/>
    <w:lvl w:ilvl="0">
      <w:start w:val="2"/>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7C3F558B"/>
    <w:multiLevelType w:val="multilevel"/>
    <w:tmpl w:val="174C00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7EE43DAB"/>
    <w:multiLevelType w:val="hybridMultilevel"/>
    <w:tmpl w:val="881AF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9"/>
  </w:num>
  <w:num w:numId="5">
    <w:abstractNumId w:val="13"/>
  </w:num>
  <w:num w:numId="6">
    <w:abstractNumId w:val="14"/>
  </w:num>
  <w:num w:numId="7">
    <w:abstractNumId w:val="4"/>
  </w:num>
  <w:num w:numId="8">
    <w:abstractNumId w:val="8"/>
  </w:num>
  <w:num w:numId="9">
    <w:abstractNumId w:val="7"/>
  </w:num>
  <w:num w:numId="10">
    <w:abstractNumId w:val="0"/>
  </w:num>
  <w:num w:numId="11">
    <w:abstractNumId w:val="1"/>
  </w:num>
  <w:num w:numId="12">
    <w:abstractNumId w:val="5"/>
  </w:num>
  <w:num w:numId="13">
    <w:abstractNumId w:val="15"/>
  </w:num>
  <w:num w:numId="14">
    <w:abstractNumId w:val="11"/>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0A4"/>
    <w:rsid w:val="00010759"/>
    <w:rsid w:val="00015C33"/>
    <w:rsid w:val="000234E2"/>
    <w:rsid w:val="00026597"/>
    <w:rsid w:val="000308F5"/>
    <w:rsid w:val="000314C4"/>
    <w:rsid w:val="00031CE2"/>
    <w:rsid w:val="00032780"/>
    <w:rsid w:val="00032D89"/>
    <w:rsid w:val="000339F0"/>
    <w:rsid w:val="00046934"/>
    <w:rsid w:val="00047F1A"/>
    <w:rsid w:val="00055666"/>
    <w:rsid w:val="000602AF"/>
    <w:rsid w:val="00076955"/>
    <w:rsid w:val="000862DF"/>
    <w:rsid w:val="00092D22"/>
    <w:rsid w:val="000A238C"/>
    <w:rsid w:val="000C43AB"/>
    <w:rsid w:val="000D15E1"/>
    <w:rsid w:val="000D62E8"/>
    <w:rsid w:val="00106A57"/>
    <w:rsid w:val="001078F9"/>
    <w:rsid w:val="00110920"/>
    <w:rsid w:val="001120A4"/>
    <w:rsid w:val="0011278C"/>
    <w:rsid w:val="0011765F"/>
    <w:rsid w:val="001300CD"/>
    <w:rsid w:val="00132530"/>
    <w:rsid w:val="001401C3"/>
    <w:rsid w:val="001421BA"/>
    <w:rsid w:val="00142773"/>
    <w:rsid w:val="0014752C"/>
    <w:rsid w:val="00147701"/>
    <w:rsid w:val="001573FA"/>
    <w:rsid w:val="00163F1D"/>
    <w:rsid w:val="001727B6"/>
    <w:rsid w:val="0018217A"/>
    <w:rsid w:val="0019419D"/>
    <w:rsid w:val="001A26E8"/>
    <w:rsid w:val="001A3E9C"/>
    <w:rsid w:val="001B1FDB"/>
    <w:rsid w:val="001B2692"/>
    <w:rsid w:val="001B5100"/>
    <w:rsid w:val="001D05BE"/>
    <w:rsid w:val="001D460F"/>
    <w:rsid w:val="001D4974"/>
    <w:rsid w:val="001D60A2"/>
    <w:rsid w:val="001D7424"/>
    <w:rsid w:val="001E0224"/>
    <w:rsid w:val="001E1C58"/>
    <w:rsid w:val="001E4CBF"/>
    <w:rsid w:val="001E4DE3"/>
    <w:rsid w:val="001F4D59"/>
    <w:rsid w:val="0020143C"/>
    <w:rsid w:val="00207640"/>
    <w:rsid w:val="00207F6F"/>
    <w:rsid w:val="002139FC"/>
    <w:rsid w:val="00216809"/>
    <w:rsid w:val="00225AA2"/>
    <w:rsid w:val="00227C91"/>
    <w:rsid w:val="00236CDA"/>
    <w:rsid w:val="0024281F"/>
    <w:rsid w:val="0025562B"/>
    <w:rsid w:val="0026107C"/>
    <w:rsid w:val="00264F71"/>
    <w:rsid w:val="002653B6"/>
    <w:rsid w:val="002708E9"/>
    <w:rsid w:val="0027360F"/>
    <w:rsid w:val="002768EA"/>
    <w:rsid w:val="00276B53"/>
    <w:rsid w:val="00276F98"/>
    <w:rsid w:val="00277BFE"/>
    <w:rsid w:val="00285B29"/>
    <w:rsid w:val="00286704"/>
    <w:rsid w:val="002B651D"/>
    <w:rsid w:val="002D10A5"/>
    <w:rsid w:val="002D1A2C"/>
    <w:rsid w:val="002D37A3"/>
    <w:rsid w:val="002D3DD4"/>
    <w:rsid w:val="002D64BA"/>
    <w:rsid w:val="002D6518"/>
    <w:rsid w:val="002D66FC"/>
    <w:rsid w:val="002E1329"/>
    <w:rsid w:val="002E4595"/>
    <w:rsid w:val="002E53E4"/>
    <w:rsid w:val="002E6530"/>
    <w:rsid w:val="002E721A"/>
    <w:rsid w:val="0030105D"/>
    <w:rsid w:val="0030211D"/>
    <w:rsid w:val="00306BB5"/>
    <w:rsid w:val="003140A1"/>
    <w:rsid w:val="00320187"/>
    <w:rsid w:val="00325097"/>
    <w:rsid w:val="0032760E"/>
    <w:rsid w:val="00336045"/>
    <w:rsid w:val="0034120E"/>
    <w:rsid w:val="00341B5F"/>
    <w:rsid w:val="00357273"/>
    <w:rsid w:val="0036007D"/>
    <w:rsid w:val="00360D4D"/>
    <w:rsid w:val="00361CF7"/>
    <w:rsid w:val="00364E8E"/>
    <w:rsid w:val="00365640"/>
    <w:rsid w:val="00374674"/>
    <w:rsid w:val="00376E1E"/>
    <w:rsid w:val="003812FE"/>
    <w:rsid w:val="003928AC"/>
    <w:rsid w:val="00393B75"/>
    <w:rsid w:val="003A525C"/>
    <w:rsid w:val="003B589A"/>
    <w:rsid w:val="003B620E"/>
    <w:rsid w:val="003D2F96"/>
    <w:rsid w:val="003D7747"/>
    <w:rsid w:val="003E7EAE"/>
    <w:rsid w:val="003F138D"/>
    <w:rsid w:val="003F5AB7"/>
    <w:rsid w:val="00400B04"/>
    <w:rsid w:val="00407334"/>
    <w:rsid w:val="00410470"/>
    <w:rsid w:val="00413FCD"/>
    <w:rsid w:val="00423472"/>
    <w:rsid w:val="00423708"/>
    <w:rsid w:val="004414F7"/>
    <w:rsid w:val="004470F3"/>
    <w:rsid w:val="00452275"/>
    <w:rsid w:val="00453BF5"/>
    <w:rsid w:val="00462AF1"/>
    <w:rsid w:val="00462B3F"/>
    <w:rsid w:val="00464684"/>
    <w:rsid w:val="00472CDB"/>
    <w:rsid w:val="004857A4"/>
    <w:rsid w:val="004858A7"/>
    <w:rsid w:val="004928FF"/>
    <w:rsid w:val="004A2BA1"/>
    <w:rsid w:val="004B0A56"/>
    <w:rsid w:val="004B5867"/>
    <w:rsid w:val="004C5444"/>
    <w:rsid w:val="004E08CE"/>
    <w:rsid w:val="004E0DB4"/>
    <w:rsid w:val="004E12D7"/>
    <w:rsid w:val="004E2B14"/>
    <w:rsid w:val="004E43B5"/>
    <w:rsid w:val="004E7EA1"/>
    <w:rsid w:val="004F762D"/>
    <w:rsid w:val="005032C4"/>
    <w:rsid w:val="005058F2"/>
    <w:rsid w:val="00506A32"/>
    <w:rsid w:val="00514B0B"/>
    <w:rsid w:val="005155EC"/>
    <w:rsid w:val="00521574"/>
    <w:rsid w:val="00522C83"/>
    <w:rsid w:val="00530B10"/>
    <w:rsid w:val="00531A13"/>
    <w:rsid w:val="00536211"/>
    <w:rsid w:val="00546FD8"/>
    <w:rsid w:val="005539D5"/>
    <w:rsid w:val="0055429A"/>
    <w:rsid w:val="005611AD"/>
    <w:rsid w:val="005616AF"/>
    <w:rsid w:val="00563A0B"/>
    <w:rsid w:val="005724C0"/>
    <w:rsid w:val="00581760"/>
    <w:rsid w:val="00587C74"/>
    <w:rsid w:val="005A30AA"/>
    <w:rsid w:val="005C6F10"/>
    <w:rsid w:val="005D36A7"/>
    <w:rsid w:val="005D758A"/>
    <w:rsid w:val="005E1778"/>
    <w:rsid w:val="005E3A24"/>
    <w:rsid w:val="005E66D0"/>
    <w:rsid w:val="005F7D54"/>
    <w:rsid w:val="00620EB1"/>
    <w:rsid w:val="00621297"/>
    <w:rsid w:val="006276C5"/>
    <w:rsid w:val="00630146"/>
    <w:rsid w:val="00630843"/>
    <w:rsid w:val="0064479D"/>
    <w:rsid w:val="006466D5"/>
    <w:rsid w:val="00647B4B"/>
    <w:rsid w:val="006525CD"/>
    <w:rsid w:val="00653DF7"/>
    <w:rsid w:val="0065786B"/>
    <w:rsid w:val="0066113E"/>
    <w:rsid w:val="006633FC"/>
    <w:rsid w:val="00663C76"/>
    <w:rsid w:val="00663E01"/>
    <w:rsid w:val="00667E34"/>
    <w:rsid w:val="00673882"/>
    <w:rsid w:val="00676948"/>
    <w:rsid w:val="006802A9"/>
    <w:rsid w:val="0068412E"/>
    <w:rsid w:val="0068714C"/>
    <w:rsid w:val="0068717A"/>
    <w:rsid w:val="006913BD"/>
    <w:rsid w:val="00693664"/>
    <w:rsid w:val="0069497D"/>
    <w:rsid w:val="006A486E"/>
    <w:rsid w:val="006A4E0D"/>
    <w:rsid w:val="006A5531"/>
    <w:rsid w:val="006A6B6A"/>
    <w:rsid w:val="006B2880"/>
    <w:rsid w:val="006B4D8E"/>
    <w:rsid w:val="006C1C72"/>
    <w:rsid w:val="006D5174"/>
    <w:rsid w:val="006E215B"/>
    <w:rsid w:val="006E2702"/>
    <w:rsid w:val="006E59AB"/>
    <w:rsid w:val="006F24FB"/>
    <w:rsid w:val="006F6676"/>
    <w:rsid w:val="00702CC8"/>
    <w:rsid w:val="0070635F"/>
    <w:rsid w:val="0071119C"/>
    <w:rsid w:val="00713111"/>
    <w:rsid w:val="00714213"/>
    <w:rsid w:val="007152C2"/>
    <w:rsid w:val="00724BD1"/>
    <w:rsid w:val="00725679"/>
    <w:rsid w:val="00730036"/>
    <w:rsid w:val="00731BDE"/>
    <w:rsid w:val="00735367"/>
    <w:rsid w:val="00735A36"/>
    <w:rsid w:val="00760941"/>
    <w:rsid w:val="00763B35"/>
    <w:rsid w:val="007653D0"/>
    <w:rsid w:val="00766519"/>
    <w:rsid w:val="00770859"/>
    <w:rsid w:val="00773B39"/>
    <w:rsid w:val="00773E98"/>
    <w:rsid w:val="00786CC5"/>
    <w:rsid w:val="0079105A"/>
    <w:rsid w:val="00793B2D"/>
    <w:rsid w:val="007940FB"/>
    <w:rsid w:val="00796EAF"/>
    <w:rsid w:val="007A7BFD"/>
    <w:rsid w:val="007B0E85"/>
    <w:rsid w:val="007B4063"/>
    <w:rsid w:val="007B49D9"/>
    <w:rsid w:val="007C44E4"/>
    <w:rsid w:val="007C5975"/>
    <w:rsid w:val="007C79C2"/>
    <w:rsid w:val="007D199D"/>
    <w:rsid w:val="007D7D4A"/>
    <w:rsid w:val="007E37ED"/>
    <w:rsid w:val="007E7B9C"/>
    <w:rsid w:val="008059FF"/>
    <w:rsid w:val="00811AB9"/>
    <w:rsid w:val="008128A0"/>
    <w:rsid w:val="00820D86"/>
    <w:rsid w:val="0082255F"/>
    <w:rsid w:val="00823A1A"/>
    <w:rsid w:val="008318E5"/>
    <w:rsid w:val="008340E0"/>
    <w:rsid w:val="00850C3D"/>
    <w:rsid w:val="00851457"/>
    <w:rsid w:val="008549A6"/>
    <w:rsid w:val="00856BCF"/>
    <w:rsid w:val="00861070"/>
    <w:rsid w:val="008663F3"/>
    <w:rsid w:val="00870D11"/>
    <w:rsid w:val="0087281B"/>
    <w:rsid w:val="00881619"/>
    <w:rsid w:val="00881C8D"/>
    <w:rsid w:val="00890B84"/>
    <w:rsid w:val="00892275"/>
    <w:rsid w:val="00893AB9"/>
    <w:rsid w:val="008945F2"/>
    <w:rsid w:val="008948EE"/>
    <w:rsid w:val="008A7786"/>
    <w:rsid w:val="008B434B"/>
    <w:rsid w:val="008C00D1"/>
    <w:rsid w:val="008C0C2D"/>
    <w:rsid w:val="008C3FD3"/>
    <w:rsid w:val="008C5435"/>
    <w:rsid w:val="008D49AF"/>
    <w:rsid w:val="008E1C2B"/>
    <w:rsid w:val="008E1CB2"/>
    <w:rsid w:val="008E1EB5"/>
    <w:rsid w:val="008E44F7"/>
    <w:rsid w:val="008F2026"/>
    <w:rsid w:val="008F235C"/>
    <w:rsid w:val="00902C8E"/>
    <w:rsid w:val="00905DE5"/>
    <w:rsid w:val="00911A14"/>
    <w:rsid w:val="00912732"/>
    <w:rsid w:val="00933012"/>
    <w:rsid w:val="00933E08"/>
    <w:rsid w:val="00933FEB"/>
    <w:rsid w:val="00937E9A"/>
    <w:rsid w:val="009448C5"/>
    <w:rsid w:val="00954831"/>
    <w:rsid w:val="009571EB"/>
    <w:rsid w:val="00961EC3"/>
    <w:rsid w:val="00962A15"/>
    <w:rsid w:val="00965A73"/>
    <w:rsid w:val="00970DAC"/>
    <w:rsid w:val="00975D8F"/>
    <w:rsid w:val="009766E9"/>
    <w:rsid w:val="00986958"/>
    <w:rsid w:val="00986ECE"/>
    <w:rsid w:val="00991E4A"/>
    <w:rsid w:val="00994FD5"/>
    <w:rsid w:val="009A6D7C"/>
    <w:rsid w:val="009A7991"/>
    <w:rsid w:val="009B6071"/>
    <w:rsid w:val="009C3F60"/>
    <w:rsid w:val="009C6E78"/>
    <w:rsid w:val="009D09F7"/>
    <w:rsid w:val="009D17BD"/>
    <w:rsid w:val="009D3EB1"/>
    <w:rsid w:val="009D424D"/>
    <w:rsid w:val="009E4600"/>
    <w:rsid w:val="009E6454"/>
    <w:rsid w:val="009E7ABB"/>
    <w:rsid w:val="009F7070"/>
    <w:rsid w:val="00A10740"/>
    <w:rsid w:val="00A153EE"/>
    <w:rsid w:val="00A238CB"/>
    <w:rsid w:val="00A2658A"/>
    <w:rsid w:val="00A32E64"/>
    <w:rsid w:val="00A43476"/>
    <w:rsid w:val="00A665E2"/>
    <w:rsid w:val="00A679DC"/>
    <w:rsid w:val="00A7256F"/>
    <w:rsid w:val="00A72FDB"/>
    <w:rsid w:val="00A73CA2"/>
    <w:rsid w:val="00A82ABD"/>
    <w:rsid w:val="00A86044"/>
    <w:rsid w:val="00A9078F"/>
    <w:rsid w:val="00A94D94"/>
    <w:rsid w:val="00A94F7C"/>
    <w:rsid w:val="00AA6AD6"/>
    <w:rsid w:val="00AB4E6E"/>
    <w:rsid w:val="00AB6F7C"/>
    <w:rsid w:val="00AB759D"/>
    <w:rsid w:val="00AC417C"/>
    <w:rsid w:val="00AC4FE5"/>
    <w:rsid w:val="00AC76F3"/>
    <w:rsid w:val="00AC7D29"/>
    <w:rsid w:val="00AD2687"/>
    <w:rsid w:val="00AD54BD"/>
    <w:rsid w:val="00AE4AE9"/>
    <w:rsid w:val="00AF1D5E"/>
    <w:rsid w:val="00AF2E20"/>
    <w:rsid w:val="00AF49B5"/>
    <w:rsid w:val="00AF5C5D"/>
    <w:rsid w:val="00AF68AD"/>
    <w:rsid w:val="00B05FA9"/>
    <w:rsid w:val="00B067B3"/>
    <w:rsid w:val="00B13122"/>
    <w:rsid w:val="00B14F44"/>
    <w:rsid w:val="00B150A8"/>
    <w:rsid w:val="00B31931"/>
    <w:rsid w:val="00B36121"/>
    <w:rsid w:val="00B41E3D"/>
    <w:rsid w:val="00B446F1"/>
    <w:rsid w:val="00B50143"/>
    <w:rsid w:val="00B61177"/>
    <w:rsid w:val="00B63945"/>
    <w:rsid w:val="00B718C4"/>
    <w:rsid w:val="00B764AA"/>
    <w:rsid w:val="00B76953"/>
    <w:rsid w:val="00B81F1B"/>
    <w:rsid w:val="00B863A7"/>
    <w:rsid w:val="00B929AC"/>
    <w:rsid w:val="00BA17CA"/>
    <w:rsid w:val="00BA3471"/>
    <w:rsid w:val="00BB304E"/>
    <w:rsid w:val="00BB502A"/>
    <w:rsid w:val="00BC6541"/>
    <w:rsid w:val="00BD45F2"/>
    <w:rsid w:val="00BD46D5"/>
    <w:rsid w:val="00BE1441"/>
    <w:rsid w:val="00BE69A0"/>
    <w:rsid w:val="00BF5592"/>
    <w:rsid w:val="00BF59C6"/>
    <w:rsid w:val="00BF766C"/>
    <w:rsid w:val="00C006A1"/>
    <w:rsid w:val="00C03DA5"/>
    <w:rsid w:val="00C109C6"/>
    <w:rsid w:val="00C133EC"/>
    <w:rsid w:val="00C14A67"/>
    <w:rsid w:val="00C23956"/>
    <w:rsid w:val="00C2766C"/>
    <w:rsid w:val="00C27BCD"/>
    <w:rsid w:val="00C370EA"/>
    <w:rsid w:val="00C37111"/>
    <w:rsid w:val="00C40DF2"/>
    <w:rsid w:val="00C427A5"/>
    <w:rsid w:val="00C51A46"/>
    <w:rsid w:val="00C5213F"/>
    <w:rsid w:val="00C5221C"/>
    <w:rsid w:val="00C527A0"/>
    <w:rsid w:val="00C57F3D"/>
    <w:rsid w:val="00C62DA5"/>
    <w:rsid w:val="00C65C59"/>
    <w:rsid w:val="00C80E02"/>
    <w:rsid w:val="00C82F97"/>
    <w:rsid w:val="00C94968"/>
    <w:rsid w:val="00CA34A2"/>
    <w:rsid w:val="00CA4CBF"/>
    <w:rsid w:val="00CA4E88"/>
    <w:rsid w:val="00CA5899"/>
    <w:rsid w:val="00CA7CCC"/>
    <w:rsid w:val="00CB1491"/>
    <w:rsid w:val="00CB3431"/>
    <w:rsid w:val="00CC559C"/>
    <w:rsid w:val="00CE02EA"/>
    <w:rsid w:val="00CE26EA"/>
    <w:rsid w:val="00CE3059"/>
    <w:rsid w:val="00CE6247"/>
    <w:rsid w:val="00D10B27"/>
    <w:rsid w:val="00D15D8A"/>
    <w:rsid w:val="00D16CC8"/>
    <w:rsid w:val="00D3115A"/>
    <w:rsid w:val="00D32814"/>
    <w:rsid w:val="00D32E9F"/>
    <w:rsid w:val="00D410AD"/>
    <w:rsid w:val="00D42617"/>
    <w:rsid w:val="00D5396F"/>
    <w:rsid w:val="00D54648"/>
    <w:rsid w:val="00D7545C"/>
    <w:rsid w:val="00D803F6"/>
    <w:rsid w:val="00D90ED1"/>
    <w:rsid w:val="00D96B86"/>
    <w:rsid w:val="00D97101"/>
    <w:rsid w:val="00DA403C"/>
    <w:rsid w:val="00DB7C72"/>
    <w:rsid w:val="00DC27B4"/>
    <w:rsid w:val="00DC6525"/>
    <w:rsid w:val="00DD0EC5"/>
    <w:rsid w:val="00DD21C5"/>
    <w:rsid w:val="00DD313B"/>
    <w:rsid w:val="00DD41E2"/>
    <w:rsid w:val="00DF2F63"/>
    <w:rsid w:val="00DF3F79"/>
    <w:rsid w:val="00DF4B1E"/>
    <w:rsid w:val="00E052D5"/>
    <w:rsid w:val="00E06B7F"/>
    <w:rsid w:val="00E10A28"/>
    <w:rsid w:val="00E112D5"/>
    <w:rsid w:val="00E15820"/>
    <w:rsid w:val="00E252BF"/>
    <w:rsid w:val="00E54A55"/>
    <w:rsid w:val="00E674B6"/>
    <w:rsid w:val="00E71519"/>
    <w:rsid w:val="00E84A5B"/>
    <w:rsid w:val="00E8651B"/>
    <w:rsid w:val="00E9197E"/>
    <w:rsid w:val="00E9540E"/>
    <w:rsid w:val="00E97660"/>
    <w:rsid w:val="00EA2027"/>
    <w:rsid w:val="00EA30B3"/>
    <w:rsid w:val="00EB301D"/>
    <w:rsid w:val="00EB67FD"/>
    <w:rsid w:val="00EB6B6A"/>
    <w:rsid w:val="00EC0C8D"/>
    <w:rsid w:val="00EC0FAF"/>
    <w:rsid w:val="00EC21A8"/>
    <w:rsid w:val="00EC35DC"/>
    <w:rsid w:val="00ED6A05"/>
    <w:rsid w:val="00EE6B8C"/>
    <w:rsid w:val="00F04004"/>
    <w:rsid w:val="00F114DE"/>
    <w:rsid w:val="00F116F1"/>
    <w:rsid w:val="00F12491"/>
    <w:rsid w:val="00F16DC6"/>
    <w:rsid w:val="00F21C35"/>
    <w:rsid w:val="00F367D8"/>
    <w:rsid w:val="00F37E6C"/>
    <w:rsid w:val="00F42425"/>
    <w:rsid w:val="00F459D1"/>
    <w:rsid w:val="00F52C26"/>
    <w:rsid w:val="00F54778"/>
    <w:rsid w:val="00F6081A"/>
    <w:rsid w:val="00F62875"/>
    <w:rsid w:val="00F659E3"/>
    <w:rsid w:val="00F70D01"/>
    <w:rsid w:val="00F770C8"/>
    <w:rsid w:val="00F856A7"/>
    <w:rsid w:val="00F86BA3"/>
    <w:rsid w:val="00F91B67"/>
    <w:rsid w:val="00F9205D"/>
    <w:rsid w:val="00FA798E"/>
    <w:rsid w:val="00FD4D5D"/>
    <w:rsid w:val="00FE51ED"/>
    <w:rsid w:val="00FF3119"/>
    <w:rsid w:val="00FF735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A4"/>
    <w:pPr>
      <w:spacing w:after="200" w:line="276" w:lineRule="auto"/>
    </w:pPr>
    <w:rPr>
      <w:rFonts w:cs="Calibri"/>
      <w:lang w:eastAsia="en-US"/>
    </w:rPr>
  </w:style>
  <w:style w:type="paragraph" w:styleId="Heading2">
    <w:name w:val="heading 2"/>
    <w:basedOn w:val="Normal"/>
    <w:next w:val="Normal"/>
    <w:link w:val="Heading2Char1"/>
    <w:uiPriority w:val="99"/>
    <w:qFormat/>
    <w:locked/>
    <w:rsid w:val="004858A7"/>
    <w:pPr>
      <w:keepNext/>
      <w:overflowPunct w:val="0"/>
      <w:autoSpaceDE w:val="0"/>
      <w:autoSpaceDN w:val="0"/>
      <w:adjustRightInd w:val="0"/>
      <w:spacing w:before="120" w:after="0" w:line="240" w:lineRule="auto"/>
      <w:jc w:val="center"/>
      <w:textAlignment w:val="baseline"/>
      <w:outlineLvl w:val="1"/>
    </w:pPr>
    <w:rPr>
      <w:rFonts w:ascii="Times New Roman" w:hAnsi="Times New Roman" w:cs="Times New Roman"/>
      <w:b/>
      <w:bCs/>
      <w:caps/>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65A73"/>
    <w:rPr>
      <w:rFonts w:ascii="Cambria" w:hAnsi="Cambria" w:cs="Times New Roman"/>
      <w:b/>
      <w:bCs/>
      <w:i/>
      <w:iCs/>
      <w:sz w:val="28"/>
      <w:szCs w:val="28"/>
      <w:lang w:eastAsia="en-US"/>
    </w:rPr>
  </w:style>
  <w:style w:type="paragraph" w:styleId="ListParagraph">
    <w:name w:val="List Paragraph"/>
    <w:basedOn w:val="Normal"/>
    <w:uiPriority w:val="99"/>
    <w:qFormat/>
    <w:rsid w:val="001120A4"/>
    <w:pPr>
      <w:ind w:left="720"/>
    </w:pPr>
  </w:style>
  <w:style w:type="paragraph" w:styleId="Header">
    <w:name w:val="header"/>
    <w:basedOn w:val="Normal"/>
    <w:link w:val="HeaderChar"/>
    <w:uiPriority w:val="99"/>
    <w:semiHidden/>
    <w:rsid w:val="001B1F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B1FDB"/>
    <w:rPr>
      <w:rFonts w:cs="Times New Roman"/>
      <w:lang w:val="lt-LT"/>
    </w:rPr>
  </w:style>
  <w:style w:type="paragraph" w:styleId="Footer">
    <w:name w:val="footer"/>
    <w:basedOn w:val="Normal"/>
    <w:link w:val="FooterChar"/>
    <w:uiPriority w:val="99"/>
    <w:rsid w:val="001B1F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1FDB"/>
    <w:rPr>
      <w:rFonts w:cs="Times New Roman"/>
      <w:lang w:val="lt-LT"/>
    </w:rPr>
  </w:style>
  <w:style w:type="character" w:styleId="Hyperlink">
    <w:name w:val="Hyperlink"/>
    <w:basedOn w:val="DefaultParagraphFont"/>
    <w:uiPriority w:val="99"/>
    <w:rsid w:val="009766E9"/>
    <w:rPr>
      <w:rFonts w:cs="Times New Roman"/>
      <w:color w:val="0000FF"/>
      <w:u w:val="single"/>
    </w:rPr>
  </w:style>
  <w:style w:type="paragraph" w:styleId="BalloonText">
    <w:name w:val="Balloon Text"/>
    <w:basedOn w:val="Normal"/>
    <w:link w:val="BalloonTextChar"/>
    <w:uiPriority w:val="99"/>
    <w:semiHidden/>
    <w:rsid w:val="0071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2C2"/>
    <w:rPr>
      <w:rFonts w:ascii="Tahoma" w:hAnsi="Tahoma" w:cs="Tahoma"/>
      <w:sz w:val="16"/>
      <w:szCs w:val="16"/>
      <w:lang w:val="lt-LT"/>
    </w:rPr>
  </w:style>
  <w:style w:type="character" w:customStyle="1" w:styleId="apple-converted-space">
    <w:name w:val="apple-converted-space"/>
    <w:basedOn w:val="DefaultParagraphFont"/>
    <w:uiPriority w:val="99"/>
    <w:rsid w:val="00954831"/>
    <w:rPr>
      <w:rFonts w:cs="Times New Roman"/>
    </w:rPr>
  </w:style>
  <w:style w:type="paragraph" w:styleId="NormalWeb">
    <w:name w:val="Normal (Web)"/>
    <w:basedOn w:val="Normal"/>
    <w:uiPriority w:val="99"/>
    <w:rsid w:val="00142773"/>
    <w:pPr>
      <w:spacing w:before="100" w:beforeAutospacing="1" w:after="100" w:afterAutospacing="1" w:line="240" w:lineRule="auto"/>
    </w:pPr>
    <w:rPr>
      <w:sz w:val="24"/>
      <w:szCs w:val="24"/>
      <w:lang w:val="en-US"/>
    </w:rPr>
  </w:style>
  <w:style w:type="paragraph" w:styleId="BodyTextIndent">
    <w:name w:val="Body Text Indent"/>
    <w:basedOn w:val="Normal"/>
    <w:link w:val="BodyTextIndentChar"/>
    <w:uiPriority w:val="99"/>
    <w:rsid w:val="004858A7"/>
    <w:pPr>
      <w:overflowPunct w:val="0"/>
      <w:autoSpaceDE w:val="0"/>
      <w:autoSpaceDN w:val="0"/>
      <w:adjustRightInd w:val="0"/>
      <w:spacing w:after="0" w:line="240" w:lineRule="auto"/>
      <w:ind w:firstLine="1304"/>
      <w:jc w:val="both"/>
      <w:textAlignment w:val="baseline"/>
    </w:pPr>
    <w:rPr>
      <w:rFonts w:ascii="Times New Roman" w:hAnsi="Times New Roman" w:cs="Times New Roman"/>
      <w:sz w:val="24"/>
      <w:szCs w:val="20"/>
    </w:rPr>
  </w:style>
  <w:style w:type="character" w:customStyle="1" w:styleId="BodyTextIndentChar">
    <w:name w:val="Body Text Indent Char"/>
    <w:basedOn w:val="DefaultParagraphFont"/>
    <w:link w:val="BodyTextIndent"/>
    <w:uiPriority w:val="99"/>
    <w:semiHidden/>
    <w:locked/>
    <w:rsid w:val="00965A73"/>
    <w:rPr>
      <w:rFonts w:cs="Calibri"/>
      <w:lang w:eastAsia="en-US"/>
    </w:rPr>
  </w:style>
  <w:style w:type="character" w:customStyle="1" w:styleId="Heading2Char1">
    <w:name w:val="Heading 2 Char1"/>
    <w:basedOn w:val="DefaultParagraphFont"/>
    <w:link w:val="Heading2"/>
    <w:uiPriority w:val="99"/>
    <w:locked/>
    <w:rsid w:val="004858A7"/>
    <w:rPr>
      <w:rFonts w:cs="Times New Roman"/>
      <w:b/>
      <w:bCs/>
      <w:caps/>
      <w:color w:val="000000"/>
      <w:sz w:val="24"/>
      <w:lang w:val="lt-LT" w:eastAsia="en-US" w:bidi="ar-SA"/>
    </w:rPr>
  </w:style>
  <w:style w:type="character" w:customStyle="1" w:styleId="DiagramaDiagrama">
    <w:name w:val="Diagrama Diagrama"/>
    <w:basedOn w:val="DefaultParagraphFont"/>
    <w:uiPriority w:val="99"/>
    <w:rsid w:val="004858A7"/>
    <w:rPr>
      <w:rFonts w:cs="Times New Roman"/>
      <w:sz w:val="24"/>
      <w:szCs w:val="24"/>
      <w:lang w:val="en-US" w:eastAsia="en-US" w:bidi="ar-SA"/>
    </w:rPr>
  </w:style>
  <w:style w:type="paragraph" w:customStyle="1" w:styleId="DiagramaDiagrama1Diagrama">
    <w:name w:val="Diagrama Diagrama1 Diagrama"/>
    <w:basedOn w:val="Normal"/>
    <w:uiPriority w:val="99"/>
    <w:rsid w:val="00C65C59"/>
    <w:pPr>
      <w:spacing w:after="160" w:line="240" w:lineRule="exact"/>
    </w:pPr>
    <w:rPr>
      <w:rFonts w:ascii="Tahoma"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197036163">
      <w:marLeft w:val="0"/>
      <w:marRight w:val="0"/>
      <w:marTop w:val="0"/>
      <w:marBottom w:val="0"/>
      <w:divBdr>
        <w:top w:val="none" w:sz="0" w:space="0" w:color="auto"/>
        <w:left w:val="none" w:sz="0" w:space="0" w:color="auto"/>
        <w:bottom w:val="none" w:sz="0" w:space="0" w:color="auto"/>
        <w:right w:val="none" w:sz="0" w:space="0" w:color="auto"/>
      </w:divBdr>
    </w:div>
    <w:div w:id="1197036164">
      <w:marLeft w:val="0"/>
      <w:marRight w:val="0"/>
      <w:marTop w:val="0"/>
      <w:marBottom w:val="0"/>
      <w:divBdr>
        <w:top w:val="none" w:sz="0" w:space="0" w:color="auto"/>
        <w:left w:val="none" w:sz="0" w:space="0" w:color="auto"/>
        <w:bottom w:val="none" w:sz="0" w:space="0" w:color="auto"/>
        <w:right w:val="none" w:sz="0" w:space="0" w:color="auto"/>
      </w:divBdr>
      <w:divsChild>
        <w:div w:id="1197036168">
          <w:marLeft w:val="0"/>
          <w:marRight w:val="0"/>
          <w:marTop w:val="0"/>
          <w:marBottom w:val="0"/>
          <w:divBdr>
            <w:top w:val="none" w:sz="0" w:space="0" w:color="auto"/>
            <w:left w:val="none" w:sz="0" w:space="0" w:color="auto"/>
            <w:bottom w:val="none" w:sz="0" w:space="0" w:color="auto"/>
            <w:right w:val="none" w:sz="0" w:space="0" w:color="auto"/>
          </w:divBdr>
          <w:divsChild>
            <w:div w:id="1197036162">
              <w:marLeft w:val="0"/>
              <w:marRight w:val="0"/>
              <w:marTop w:val="0"/>
              <w:marBottom w:val="0"/>
              <w:divBdr>
                <w:top w:val="none" w:sz="0" w:space="0" w:color="auto"/>
                <w:left w:val="none" w:sz="0" w:space="0" w:color="auto"/>
                <w:bottom w:val="none" w:sz="0" w:space="0" w:color="auto"/>
                <w:right w:val="none" w:sz="0" w:space="0" w:color="auto"/>
              </w:divBdr>
              <w:divsChild>
                <w:div w:id="1197036161">
                  <w:marLeft w:val="0"/>
                  <w:marRight w:val="0"/>
                  <w:marTop w:val="0"/>
                  <w:marBottom w:val="0"/>
                  <w:divBdr>
                    <w:top w:val="none" w:sz="0" w:space="0" w:color="auto"/>
                    <w:left w:val="none" w:sz="0" w:space="0" w:color="auto"/>
                    <w:bottom w:val="none" w:sz="0" w:space="0" w:color="auto"/>
                    <w:right w:val="none" w:sz="0" w:space="0" w:color="auto"/>
                  </w:divBdr>
                </w:div>
                <w:div w:id="1197036167">
                  <w:marLeft w:val="0"/>
                  <w:marRight w:val="0"/>
                  <w:marTop w:val="0"/>
                  <w:marBottom w:val="0"/>
                  <w:divBdr>
                    <w:top w:val="none" w:sz="0" w:space="0" w:color="auto"/>
                    <w:left w:val="none" w:sz="0" w:space="0" w:color="auto"/>
                    <w:bottom w:val="none" w:sz="0" w:space="0" w:color="auto"/>
                    <w:right w:val="none" w:sz="0" w:space="0" w:color="auto"/>
                  </w:divBdr>
                </w:div>
                <w:div w:id="1197036175">
                  <w:marLeft w:val="0"/>
                  <w:marRight w:val="0"/>
                  <w:marTop w:val="0"/>
                  <w:marBottom w:val="0"/>
                  <w:divBdr>
                    <w:top w:val="none" w:sz="0" w:space="0" w:color="auto"/>
                    <w:left w:val="none" w:sz="0" w:space="0" w:color="auto"/>
                    <w:bottom w:val="none" w:sz="0" w:space="0" w:color="auto"/>
                    <w:right w:val="none" w:sz="0" w:space="0" w:color="auto"/>
                  </w:divBdr>
                </w:div>
                <w:div w:id="11970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6165">
      <w:marLeft w:val="0"/>
      <w:marRight w:val="0"/>
      <w:marTop w:val="0"/>
      <w:marBottom w:val="0"/>
      <w:divBdr>
        <w:top w:val="none" w:sz="0" w:space="0" w:color="auto"/>
        <w:left w:val="none" w:sz="0" w:space="0" w:color="auto"/>
        <w:bottom w:val="none" w:sz="0" w:space="0" w:color="auto"/>
        <w:right w:val="none" w:sz="0" w:space="0" w:color="auto"/>
      </w:divBdr>
      <w:divsChild>
        <w:div w:id="1197036169">
          <w:marLeft w:val="0"/>
          <w:marRight w:val="0"/>
          <w:marTop w:val="0"/>
          <w:marBottom w:val="0"/>
          <w:divBdr>
            <w:top w:val="none" w:sz="0" w:space="0" w:color="auto"/>
            <w:left w:val="none" w:sz="0" w:space="0" w:color="auto"/>
            <w:bottom w:val="none" w:sz="0" w:space="0" w:color="auto"/>
            <w:right w:val="none" w:sz="0" w:space="0" w:color="auto"/>
          </w:divBdr>
        </w:div>
      </w:divsChild>
    </w:div>
    <w:div w:id="1197036170">
      <w:marLeft w:val="0"/>
      <w:marRight w:val="0"/>
      <w:marTop w:val="0"/>
      <w:marBottom w:val="0"/>
      <w:divBdr>
        <w:top w:val="none" w:sz="0" w:space="0" w:color="auto"/>
        <w:left w:val="none" w:sz="0" w:space="0" w:color="auto"/>
        <w:bottom w:val="none" w:sz="0" w:space="0" w:color="auto"/>
        <w:right w:val="none" w:sz="0" w:space="0" w:color="auto"/>
      </w:divBdr>
    </w:div>
    <w:div w:id="1197036173">
      <w:marLeft w:val="0"/>
      <w:marRight w:val="0"/>
      <w:marTop w:val="0"/>
      <w:marBottom w:val="0"/>
      <w:divBdr>
        <w:top w:val="none" w:sz="0" w:space="0" w:color="auto"/>
        <w:left w:val="none" w:sz="0" w:space="0" w:color="auto"/>
        <w:bottom w:val="none" w:sz="0" w:space="0" w:color="auto"/>
        <w:right w:val="none" w:sz="0" w:space="0" w:color="auto"/>
      </w:divBdr>
    </w:div>
    <w:div w:id="1197036176">
      <w:marLeft w:val="0"/>
      <w:marRight w:val="0"/>
      <w:marTop w:val="0"/>
      <w:marBottom w:val="0"/>
      <w:divBdr>
        <w:top w:val="none" w:sz="0" w:space="0" w:color="auto"/>
        <w:left w:val="none" w:sz="0" w:space="0" w:color="auto"/>
        <w:bottom w:val="none" w:sz="0" w:space="0" w:color="auto"/>
        <w:right w:val="none" w:sz="0" w:space="0" w:color="auto"/>
      </w:divBdr>
      <w:divsChild>
        <w:div w:id="1197036174">
          <w:marLeft w:val="0"/>
          <w:marRight w:val="0"/>
          <w:marTop w:val="0"/>
          <w:marBottom w:val="0"/>
          <w:divBdr>
            <w:top w:val="none" w:sz="0" w:space="0" w:color="auto"/>
            <w:left w:val="none" w:sz="0" w:space="0" w:color="auto"/>
            <w:bottom w:val="none" w:sz="0" w:space="0" w:color="auto"/>
            <w:right w:val="none" w:sz="0" w:space="0" w:color="auto"/>
          </w:divBdr>
          <w:divsChild>
            <w:div w:id="1197036178">
              <w:marLeft w:val="0"/>
              <w:marRight w:val="0"/>
              <w:marTop w:val="0"/>
              <w:marBottom w:val="0"/>
              <w:divBdr>
                <w:top w:val="none" w:sz="0" w:space="0" w:color="auto"/>
                <w:left w:val="none" w:sz="0" w:space="0" w:color="auto"/>
                <w:bottom w:val="none" w:sz="0" w:space="0" w:color="auto"/>
                <w:right w:val="none" w:sz="0" w:space="0" w:color="auto"/>
              </w:divBdr>
              <w:divsChild>
                <w:div w:id="1197036166">
                  <w:marLeft w:val="0"/>
                  <w:marRight w:val="0"/>
                  <w:marTop w:val="0"/>
                  <w:marBottom w:val="0"/>
                  <w:divBdr>
                    <w:top w:val="none" w:sz="0" w:space="0" w:color="auto"/>
                    <w:left w:val="none" w:sz="0" w:space="0" w:color="auto"/>
                    <w:bottom w:val="none" w:sz="0" w:space="0" w:color="auto"/>
                    <w:right w:val="none" w:sz="0" w:space="0" w:color="auto"/>
                  </w:divBdr>
                </w:div>
                <w:div w:id="1197036171">
                  <w:marLeft w:val="0"/>
                  <w:marRight w:val="0"/>
                  <w:marTop w:val="0"/>
                  <w:marBottom w:val="0"/>
                  <w:divBdr>
                    <w:top w:val="none" w:sz="0" w:space="0" w:color="auto"/>
                    <w:left w:val="none" w:sz="0" w:space="0" w:color="auto"/>
                    <w:bottom w:val="none" w:sz="0" w:space="0" w:color="auto"/>
                    <w:right w:val="none" w:sz="0" w:space="0" w:color="auto"/>
                  </w:divBdr>
                </w:div>
                <w:div w:id="1197036172">
                  <w:marLeft w:val="0"/>
                  <w:marRight w:val="0"/>
                  <w:marTop w:val="0"/>
                  <w:marBottom w:val="0"/>
                  <w:divBdr>
                    <w:top w:val="none" w:sz="0" w:space="0" w:color="auto"/>
                    <w:left w:val="none" w:sz="0" w:space="0" w:color="auto"/>
                    <w:bottom w:val="none" w:sz="0" w:space="0" w:color="auto"/>
                    <w:right w:val="none" w:sz="0" w:space="0" w:color="auto"/>
                  </w:divBdr>
                </w:div>
                <w:div w:id="11970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6177">
      <w:marLeft w:val="0"/>
      <w:marRight w:val="0"/>
      <w:marTop w:val="0"/>
      <w:marBottom w:val="0"/>
      <w:divBdr>
        <w:top w:val="none" w:sz="0" w:space="0" w:color="auto"/>
        <w:left w:val="none" w:sz="0" w:space="0" w:color="auto"/>
        <w:bottom w:val="none" w:sz="0" w:space="0" w:color="auto"/>
        <w:right w:val="none" w:sz="0" w:space="0" w:color="auto"/>
      </w:divBdr>
    </w:div>
    <w:div w:id="1197036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19</Pages>
  <Words>21623</Words>
  <Characters>12326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Comp</cp:lastModifiedBy>
  <cp:revision>13</cp:revision>
  <cp:lastPrinted>2017-03-15T07:01:00Z</cp:lastPrinted>
  <dcterms:created xsi:type="dcterms:W3CDTF">2017-02-27T09:01:00Z</dcterms:created>
  <dcterms:modified xsi:type="dcterms:W3CDTF">2017-03-28T05:52:00Z</dcterms:modified>
</cp:coreProperties>
</file>