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AB74BE" w:rsidRPr="00CA1EDB">
        <w:trPr>
          <w:trHeight w:hRule="exact" w:val="1516"/>
        </w:trPr>
        <w:tc>
          <w:tcPr>
            <w:tcW w:w="9639" w:type="dxa"/>
          </w:tcPr>
          <w:p w:rsidR="00AB74BE" w:rsidRPr="00CA1EDB" w:rsidRDefault="00AB74BE" w:rsidP="000D4D7D">
            <w:pPr>
              <w:spacing w:line="240" w:lineRule="atLeast"/>
              <w:jc w:val="center"/>
            </w:pPr>
          </w:p>
          <w:p w:rsidR="00AB74BE" w:rsidRPr="00CA1EDB" w:rsidRDefault="00AB74BE" w:rsidP="000D4D7D">
            <w:pPr>
              <w:spacing w:line="240" w:lineRule="atLeast"/>
              <w:jc w:val="center"/>
              <w:rPr>
                <w:color w:val="000000"/>
              </w:rPr>
            </w:pPr>
            <w:r w:rsidRPr="00792228">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pt">
                  <v:imagedata r:id="rId7" o:title=""/>
                </v:shape>
              </w:pict>
            </w:r>
          </w:p>
        </w:tc>
      </w:tr>
      <w:tr w:rsidR="00AB74BE" w:rsidRPr="00CA1EDB">
        <w:trPr>
          <w:trHeight w:hRule="exact" w:val="1804"/>
        </w:trPr>
        <w:tc>
          <w:tcPr>
            <w:tcW w:w="9639" w:type="dxa"/>
          </w:tcPr>
          <w:p w:rsidR="00AB74BE" w:rsidRPr="00CA1EDB" w:rsidRDefault="00AB74BE" w:rsidP="000D4D7D">
            <w:pPr>
              <w:pStyle w:val="Heading2"/>
            </w:pPr>
            <w:r w:rsidRPr="00CA1EDB">
              <w:t>Pagėgių savivaldybės taryba</w:t>
            </w:r>
          </w:p>
          <w:p w:rsidR="00AB74BE" w:rsidRPr="00CA1EDB" w:rsidRDefault="00AB74BE" w:rsidP="000D4D7D"/>
          <w:p w:rsidR="00AB74BE" w:rsidRPr="00CA1EDB" w:rsidRDefault="00AB74BE" w:rsidP="000D4D7D">
            <w:pPr>
              <w:spacing w:before="120"/>
              <w:jc w:val="center"/>
              <w:rPr>
                <w:b/>
                <w:bCs/>
                <w:caps/>
                <w:color w:val="000000"/>
              </w:rPr>
            </w:pPr>
            <w:r w:rsidRPr="00CA1EDB">
              <w:rPr>
                <w:b/>
                <w:bCs/>
                <w:caps/>
                <w:color w:val="000000"/>
              </w:rPr>
              <w:t>sprendimas</w:t>
            </w:r>
          </w:p>
          <w:p w:rsidR="00AB74BE" w:rsidRPr="00CA1EDB" w:rsidRDefault="00AB74BE" w:rsidP="000D4D7D">
            <w:pPr>
              <w:pStyle w:val="statymopavad"/>
              <w:spacing w:line="240" w:lineRule="auto"/>
              <w:ind w:firstLine="0"/>
              <w:rPr>
                <w:rFonts w:ascii="Times New Roman" w:hAnsi="Times New Roman"/>
                <w:b/>
                <w:spacing w:val="20"/>
                <w:szCs w:val="24"/>
              </w:rPr>
            </w:pPr>
            <w:r w:rsidRPr="00CA1EDB">
              <w:rPr>
                <w:rFonts w:ascii="Times New Roman" w:hAnsi="Times New Roman"/>
                <w:b/>
                <w:spacing w:val="20"/>
                <w:szCs w:val="24"/>
              </w:rPr>
              <w:t>dėl žemės mokesčio tarifų ir lengvatų nustatymo</w:t>
            </w:r>
          </w:p>
          <w:p w:rsidR="00AB74BE" w:rsidRPr="00CA1EDB" w:rsidRDefault="00AB74BE" w:rsidP="000D4D7D">
            <w:pPr>
              <w:pStyle w:val="statymopavad"/>
              <w:spacing w:line="240" w:lineRule="auto"/>
              <w:ind w:firstLine="0"/>
              <w:rPr>
                <w:rFonts w:ascii="Times New Roman" w:hAnsi="Times New Roman"/>
                <w:b/>
                <w:szCs w:val="24"/>
              </w:rPr>
            </w:pPr>
            <w:r w:rsidRPr="00CA1EDB">
              <w:rPr>
                <w:rFonts w:ascii="Times New Roman" w:hAnsi="Times New Roman"/>
                <w:b/>
                <w:spacing w:val="20"/>
                <w:szCs w:val="24"/>
              </w:rPr>
              <w:t xml:space="preserve"> 201</w:t>
            </w:r>
            <w:r>
              <w:rPr>
                <w:rFonts w:ascii="Times New Roman" w:hAnsi="Times New Roman"/>
                <w:b/>
                <w:spacing w:val="20"/>
                <w:szCs w:val="24"/>
              </w:rPr>
              <w:t>8</w:t>
            </w:r>
            <w:r w:rsidRPr="00CA1EDB">
              <w:rPr>
                <w:rFonts w:ascii="Times New Roman" w:hAnsi="Times New Roman"/>
                <w:b/>
                <w:spacing w:val="20"/>
                <w:szCs w:val="24"/>
              </w:rPr>
              <w:t xml:space="preserve"> metams</w:t>
            </w:r>
          </w:p>
          <w:p w:rsidR="00AB74BE" w:rsidRPr="00CA1EDB" w:rsidRDefault="00AB74BE" w:rsidP="000D4D7D">
            <w:pPr>
              <w:spacing w:before="120"/>
              <w:jc w:val="center"/>
              <w:rPr>
                <w:b/>
                <w:bCs/>
                <w:caps/>
                <w:color w:val="000000"/>
              </w:rPr>
            </w:pPr>
          </w:p>
        </w:tc>
      </w:tr>
      <w:tr w:rsidR="00AB74BE" w:rsidRPr="00CA1EDB">
        <w:trPr>
          <w:trHeight w:hRule="exact" w:val="894"/>
        </w:trPr>
        <w:tc>
          <w:tcPr>
            <w:tcW w:w="9639" w:type="dxa"/>
          </w:tcPr>
          <w:p w:rsidR="00AB74BE" w:rsidRPr="00CA1EDB" w:rsidRDefault="00AB74BE" w:rsidP="000D4D7D">
            <w:pPr>
              <w:pStyle w:val="Heading2"/>
              <w:rPr>
                <w:b w:val="0"/>
                <w:bCs w:val="0"/>
                <w:caps w:val="0"/>
              </w:rPr>
            </w:pPr>
            <w:r w:rsidRPr="00CA1EDB">
              <w:rPr>
                <w:b w:val="0"/>
                <w:bCs w:val="0"/>
                <w:caps w:val="0"/>
              </w:rPr>
              <w:t>201</w:t>
            </w:r>
            <w:r>
              <w:rPr>
                <w:b w:val="0"/>
                <w:bCs w:val="0"/>
                <w:caps w:val="0"/>
              </w:rPr>
              <w:t xml:space="preserve">7 </w:t>
            </w:r>
            <w:r w:rsidRPr="00CA1EDB">
              <w:rPr>
                <w:b w:val="0"/>
                <w:bCs w:val="0"/>
                <w:caps w:val="0"/>
              </w:rPr>
              <w:t xml:space="preserve">m. </w:t>
            </w:r>
            <w:r>
              <w:rPr>
                <w:b w:val="0"/>
                <w:bCs w:val="0"/>
                <w:caps w:val="0"/>
              </w:rPr>
              <w:t xml:space="preserve">balandžio 27 </w:t>
            </w:r>
            <w:r w:rsidRPr="00CA1EDB">
              <w:rPr>
                <w:b w:val="0"/>
                <w:bCs w:val="0"/>
                <w:caps w:val="0"/>
              </w:rPr>
              <w:t>d. Nr.</w:t>
            </w:r>
            <w:r>
              <w:rPr>
                <w:b w:val="0"/>
                <w:bCs w:val="0"/>
                <w:caps w:val="0"/>
              </w:rPr>
              <w:t xml:space="preserve"> T-52</w:t>
            </w:r>
          </w:p>
          <w:p w:rsidR="00AB74BE" w:rsidRPr="00CA1EDB" w:rsidRDefault="00AB74BE" w:rsidP="000D4D7D">
            <w:pPr>
              <w:jc w:val="center"/>
            </w:pPr>
            <w:r w:rsidRPr="00CA1EDB">
              <w:t>Pagėgiai</w:t>
            </w:r>
          </w:p>
        </w:tc>
      </w:tr>
    </w:tbl>
    <w:p w:rsidR="00AB74BE" w:rsidRPr="00CA1EDB" w:rsidRDefault="00AB74BE" w:rsidP="000D4D7D">
      <w:pPr>
        <w:spacing w:line="360" w:lineRule="auto"/>
        <w:ind w:firstLine="720"/>
        <w:jc w:val="both"/>
      </w:pPr>
      <w:r w:rsidRPr="00CA1EDB">
        <w:t xml:space="preserve">Vadovaudamasi Lietuvos  Respublikos vietos savivaldos įstatymo  16 straipsnio 2 dalies </w:t>
      </w:r>
      <w:r>
        <w:t>18 ir 37 punktais</w:t>
      </w:r>
      <w:r w:rsidRPr="00CA1EDB">
        <w:t xml:space="preserve">, </w:t>
      </w:r>
      <w:r w:rsidRPr="00CA1EDB">
        <w:rPr>
          <w:szCs w:val="24"/>
        </w:rPr>
        <w:t xml:space="preserve">Lietuvos Respublikos žemės mokesčio įstatymo 6 ir 8 straipsniais, </w:t>
      </w:r>
      <w:r w:rsidRPr="00CA1EDB">
        <w:t>Pagėgių savivaldybės taryba  n u s p r e n d ž i a:</w:t>
      </w:r>
    </w:p>
    <w:p w:rsidR="00AB74BE" w:rsidRPr="00CA1EDB" w:rsidRDefault="00AB74BE" w:rsidP="000D4D7D">
      <w:pPr>
        <w:spacing w:line="360" w:lineRule="auto"/>
        <w:ind w:firstLine="720"/>
        <w:jc w:val="both"/>
      </w:pPr>
      <w:r w:rsidRPr="00CA1EDB">
        <w:t xml:space="preserve">1. </w:t>
      </w:r>
      <w:r w:rsidRPr="00CA1EDB">
        <w:rPr>
          <w:noProof/>
          <w:lang w:val="pl-PL"/>
        </w:rPr>
        <w:t>Nustatyti žemės mokesčio tarifus 201</w:t>
      </w:r>
      <w:r>
        <w:rPr>
          <w:noProof/>
          <w:lang w:val="pl-PL"/>
        </w:rPr>
        <w:t>8</w:t>
      </w:r>
      <w:r w:rsidRPr="00CA1EDB">
        <w:rPr>
          <w:noProof/>
          <w:lang w:val="pl-PL"/>
        </w:rPr>
        <w:t xml:space="preserve"> metams, galiosiančius Pagėgių savivaldybės teritorijoje:</w:t>
      </w:r>
    </w:p>
    <w:p w:rsidR="00AB74BE" w:rsidRPr="00CA1EDB" w:rsidRDefault="00AB74BE" w:rsidP="000D4D7D">
      <w:pPr>
        <w:numPr>
          <w:ilvl w:val="1"/>
          <w:numId w:val="1"/>
        </w:numPr>
        <w:spacing w:line="360" w:lineRule="auto"/>
        <w:jc w:val="both"/>
        <w:rPr>
          <w:noProof/>
          <w:lang w:val="pl-PL"/>
        </w:rPr>
      </w:pPr>
      <w:r w:rsidRPr="00CA1EDB">
        <w:rPr>
          <w:noProof/>
          <w:lang w:val="pl-PL"/>
        </w:rPr>
        <w:t xml:space="preserve"> pagal </w:t>
      </w:r>
      <w:r>
        <w:rPr>
          <w:noProof/>
          <w:lang w:val="pl-PL"/>
        </w:rPr>
        <w:t xml:space="preserve">pagrindinę tikslinę </w:t>
      </w:r>
      <w:r w:rsidRPr="00CA1EDB">
        <w:rPr>
          <w:noProof/>
          <w:lang w:val="pl-PL"/>
        </w:rPr>
        <w:t xml:space="preserve">žemės naudojimo paskirtį </w:t>
      </w:r>
      <w:r>
        <w:rPr>
          <w:noProof/>
          <w:lang w:val="pl-PL"/>
        </w:rPr>
        <w:t xml:space="preserve">ir naudojimo būdus </w:t>
      </w:r>
      <w:r w:rsidRPr="00CA1EDB">
        <w:rPr>
          <w:noProof/>
          <w:lang w:val="pl-PL"/>
        </w:rPr>
        <w:t xml:space="preserve">nuo žemės </w:t>
      </w:r>
      <w:r>
        <w:rPr>
          <w:noProof/>
          <w:lang w:val="pl-PL"/>
        </w:rPr>
        <w:t xml:space="preserve"> </w:t>
      </w:r>
      <w:r w:rsidRPr="00CA1EDB">
        <w:rPr>
          <w:noProof/>
          <w:lang w:val="pl-PL"/>
        </w:rPr>
        <w:t>mokestinės vertės: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580"/>
        <w:gridCol w:w="2007"/>
      </w:tblGrid>
      <w:tr w:rsidR="00AB74BE" w:rsidRPr="00465772">
        <w:trPr>
          <w:trHeight w:val="637"/>
        </w:trPr>
        <w:tc>
          <w:tcPr>
            <w:tcW w:w="648" w:type="dxa"/>
          </w:tcPr>
          <w:p w:rsidR="00AB74BE" w:rsidRPr="00465772" w:rsidRDefault="00AB74BE" w:rsidP="00465772">
            <w:pPr>
              <w:spacing w:line="360" w:lineRule="auto"/>
              <w:jc w:val="center"/>
              <w:rPr>
                <w:noProof/>
                <w:sz w:val="22"/>
                <w:szCs w:val="22"/>
                <w:lang w:val="pl-PL"/>
              </w:rPr>
            </w:pPr>
            <w:r w:rsidRPr="00465772">
              <w:rPr>
                <w:noProof/>
                <w:sz w:val="22"/>
                <w:szCs w:val="22"/>
                <w:lang w:val="pl-PL"/>
              </w:rPr>
              <w:t>Eil. Nr.</w:t>
            </w:r>
          </w:p>
        </w:tc>
        <w:tc>
          <w:tcPr>
            <w:tcW w:w="5580" w:type="dxa"/>
          </w:tcPr>
          <w:p w:rsidR="00AB74BE" w:rsidRPr="00465772" w:rsidRDefault="00AB74BE" w:rsidP="00465772">
            <w:pPr>
              <w:spacing w:line="360" w:lineRule="auto"/>
              <w:jc w:val="center"/>
              <w:rPr>
                <w:noProof/>
                <w:sz w:val="22"/>
                <w:szCs w:val="22"/>
                <w:lang w:val="pl-PL"/>
              </w:rPr>
            </w:pPr>
            <w:r w:rsidRPr="00465772">
              <w:rPr>
                <w:noProof/>
                <w:sz w:val="22"/>
                <w:szCs w:val="22"/>
                <w:lang w:val="pl-PL"/>
              </w:rPr>
              <w:t>Pagrindinė tikslinė žemės naudojimo paskirtis</w:t>
            </w:r>
          </w:p>
          <w:p w:rsidR="00AB74BE" w:rsidRPr="00465772" w:rsidRDefault="00AB74BE" w:rsidP="00465772">
            <w:pPr>
              <w:spacing w:line="360" w:lineRule="auto"/>
              <w:jc w:val="center"/>
              <w:rPr>
                <w:noProof/>
                <w:sz w:val="22"/>
                <w:szCs w:val="22"/>
                <w:lang w:val="pl-PL"/>
              </w:rPr>
            </w:pPr>
            <w:r w:rsidRPr="00465772">
              <w:rPr>
                <w:noProof/>
                <w:sz w:val="22"/>
                <w:szCs w:val="22"/>
                <w:lang w:val="pl-PL"/>
              </w:rPr>
              <w:t>ir naudojomo būdas</w:t>
            </w:r>
          </w:p>
        </w:tc>
        <w:tc>
          <w:tcPr>
            <w:tcW w:w="2007" w:type="dxa"/>
          </w:tcPr>
          <w:p w:rsidR="00AB74BE" w:rsidRPr="00465772" w:rsidRDefault="00AB74BE" w:rsidP="00465772">
            <w:pPr>
              <w:spacing w:line="360" w:lineRule="auto"/>
              <w:jc w:val="center"/>
              <w:rPr>
                <w:noProof/>
                <w:sz w:val="22"/>
                <w:szCs w:val="22"/>
                <w:lang w:val="pl-PL"/>
              </w:rPr>
            </w:pPr>
            <w:r w:rsidRPr="00465772">
              <w:rPr>
                <w:noProof/>
                <w:sz w:val="22"/>
                <w:szCs w:val="22"/>
                <w:lang w:val="pl-PL"/>
              </w:rPr>
              <w:t>Mokesčio tarifas (procentai)</w:t>
            </w:r>
          </w:p>
        </w:tc>
      </w:tr>
    </w:tbl>
    <w:p w:rsidR="00AB74BE" w:rsidRDefault="00AB74BE" w:rsidP="000D4D7D">
      <w:pPr>
        <w:spacing w:line="360" w:lineRule="auto"/>
        <w:jc w:val="both"/>
        <w:rPr>
          <w:noProof/>
          <w:sz w:val="22"/>
          <w:szCs w:val="22"/>
          <w:lang w:val="pl-PL"/>
        </w:rPr>
        <w:sectPr w:rsidR="00AB74BE" w:rsidSect="000D4D7D">
          <w:pgSz w:w="11907" w:h="16840"/>
          <w:pgMar w:top="1134" w:right="567" w:bottom="719" w:left="1701" w:header="567" w:footer="567" w:gutter="0"/>
          <w:cols w:space="129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580"/>
        <w:gridCol w:w="2007"/>
      </w:tblGrid>
      <w:tr w:rsidR="00AB74BE" w:rsidRPr="00465772">
        <w:trPr>
          <w:trHeight w:val="443"/>
        </w:trPr>
        <w:tc>
          <w:tcPr>
            <w:tcW w:w="648" w:type="dxa"/>
          </w:tcPr>
          <w:p w:rsidR="00AB74BE" w:rsidRPr="00465772" w:rsidRDefault="00AB74BE" w:rsidP="00465772">
            <w:pPr>
              <w:spacing w:line="360" w:lineRule="auto"/>
              <w:jc w:val="right"/>
              <w:rPr>
                <w:noProof/>
                <w:sz w:val="22"/>
                <w:szCs w:val="22"/>
                <w:lang w:val="pl-PL"/>
              </w:rPr>
            </w:pPr>
            <w:r w:rsidRPr="00465772">
              <w:rPr>
                <w:noProof/>
                <w:sz w:val="22"/>
                <w:szCs w:val="22"/>
                <w:lang w:val="pl-PL"/>
              </w:rPr>
              <w:t>1.</w:t>
            </w:r>
          </w:p>
        </w:tc>
        <w:tc>
          <w:tcPr>
            <w:tcW w:w="5580" w:type="dxa"/>
          </w:tcPr>
          <w:p w:rsidR="00AB74BE" w:rsidRPr="00465772" w:rsidRDefault="00AB74BE" w:rsidP="00465772">
            <w:pPr>
              <w:spacing w:line="360" w:lineRule="auto"/>
              <w:jc w:val="both"/>
              <w:rPr>
                <w:noProof/>
                <w:sz w:val="22"/>
                <w:szCs w:val="22"/>
                <w:lang w:val="pl-PL"/>
              </w:rPr>
            </w:pPr>
            <w:r w:rsidRPr="00465772">
              <w:rPr>
                <w:noProof/>
                <w:sz w:val="22"/>
                <w:szCs w:val="22"/>
                <w:lang w:val="pl-PL"/>
              </w:rPr>
              <w:t>Žemės ūkio žemei (610)</w:t>
            </w:r>
          </w:p>
        </w:tc>
        <w:tc>
          <w:tcPr>
            <w:tcW w:w="2007" w:type="dxa"/>
          </w:tcPr>
          <w:p w:rsidR="00AB74BE" w:rsidRPr="00465772" w:rsidRDefault="00AB74BE" w:rsidP="00465772">
            <w:pPr>
              <w:spacing w:line="360" w:lineRule="auto"/>
              <w:jc w:val="center"/>
              <w:rPr>
                <w:noProof/>
                <w:sz w:val="22"/>
                <w:szCs w:val="22"/>
                <w:lang w:val="pl-PL"/>
              </w:rPr>
            </w:pPr>
            <w:r w:rsidRPr="00465772">
              <w:rPr>
                <w:noProof/>
                <w:sz w:val="22"/>
                <w:szCs w:val="22"/>
                <w:lang w:val="pl-PL"/>
              </w:rPr>
              <w:t>1,5</w:t>
            </w:r>
          </w:p>
        </w:tc>
      </w:tr>
      <w:tr w:rsidR="00AB74BE" w:rsidRPr="00465772">
        <w:tc>
          <w:tcPr>
            <w:tcW w:w="648" w:type="dxa"/>
          </w:tcPr>
          <w:p w:rsidR="00AB74BE" w:rsidRPr="00465772" w:rsidRDefault="00AB74BE" w:rsidP="00465772">
            <w:pPr>
              <w:spacing w:line="360" w:lineRule="auto"/>
              <w:jc w:val="right"/>
              <w:rPr>
                <w:noProof/>
                <w:sz w:val="22"/>
                <w:szCs w:val="22"/>
                <w:lang w:val="pl-PL"/>
              </w:rPr>
            </w:pPr>
            <w:r w:rsidRPr="00465772">
              <w:rPr>
                <w:noProof/>
                <w:sz w:val="22"/>
                <w:szCs w:val="22"/>
                <w:lang w:val="pl-PL"/>
              </w:rPr>
              <w:t>2.</w:t>
            </w:r>
          </w:p>
        </w:tc>
        <w:tc>
          <w:tcPr>
            <w:tcW w:w="5580" w:type="dxa"/>
          </w:tcPr>
          <w:p w:rsidR="00AB74BE" w:rsidRPr="00465772" w:rsidRDefault="00AB74BE" w:rsidP="00465772">
            <w:pPr>
              <w:spacing w:line="360" w:lineRule="auto"/>
              <w:jc w:val="both"/>
              <w:rPr>
                <w:noProof/>
                <w:sz w:val="22"/>
                <w:szCs w:val="22"/>
                <w:lang w:val="pl-PL"/>
              </w:rPr>
            </w:pPr>
            <w:r w:rsidRPr="00465772">
              <w:rPr>
                <w:noProof/>
                <w:sz w:val="22"/>
                <w:szCs w:val="22"/>
                <w:lang w:val="pl-PL"/>
              </w:rPr>
              <w:t>Žemės ūkio (mėgėjiškų sodų) žemei (328)</w:t>
            </w:r>
          </w:p>
        </w:tc>
        <w:tc>
          <w:tcPr>
            <w:tcW w:w="2007" w:type="dxa"/>
          </w:tcPr>
          <w:p w:rsidR="00AB74BE" w:rsidRPr="00465772" w:rsidRDefault="00AB74BE" w:rsidP="00465772">
            <w:pPr>
              <w:spacing w:line="360" w:lineRule="auto"/>
              <w:jc w:val="center"/>
              <w:rPr>
                <w:noProof/>
                <w:sz w:val="22"/>
                <w:szCs w:val="22"/>
                <w:lang w:val="pl-PL"/>
              </w:rPr>
            </w:pPr>
            <w:r w:rsidRPr="00465772">
              <w:rPr>
                <w:noProof/>
                <w:sz w:val="22"/>
                <w:szCs w:val="22"/>
                <w:lang w:val="pl-PL"/>
              </w:rPr>
              <w:t>1,5</w:t>
            </w:r>
          </w:p>
        </w:tc>
      </w:tr>
      <w:tr w:rsidR="00AB74BE" w:rsidRPr="00465772">
        <w:tc>
          <w:tcPr>
            <w:tcW w:w="648" w:type="dxa"/>
          </w:tcPr>
          <w:p w:rsidR="00AB74BE" w:rsidRPr="00465772" w:rsidRDefault="00AB74BE" w:rsidP="00465772">
            <w:pPr>
              <w:spacing w:line="360" w:lineRule="auto"/>
              <w:jc w:val="right"/>
              <w:rPr>
                <w:noProof/>
                <w:sz w:val="22"/>
                <w:szCs w:val="22"/>
                <w:lang w:val="pl-PL"/>
              </w:rPr>
            </w:pPr>
            <w:r w:rsidRPr="00465772">
              <w:rPr>
                <w:noProof/>
                <w:sz w:val="22"/>
                <w:szCs w:val="22"/>
                <w:lang w:val="pl-PL"/>
              </w:rPr>
              <w:t>3.</w:t>
            </w:r>
          </w:p>
        </w:tc>
        <w:tc>
          <w:tcPr>
            <w:tcW w:w="5580" w:type="dxa"/>
          </w:tcPr>
          <w:p w:rsidR="00AB74BE" w:rsidRPr="00465772" w:rsidRDefault="00AB74BE" w:rsidP="00465772">
            <w:pPr>
              <w:spacing w:line="360" w:lineRule="auto"/>
              <w:jc w:val="both"/>
              <w:rPr>
                <w:noProof/>
                <w:sz w:val="22"/>
                <w:szCs w:val="22"/>
                <w:lang w:val="pl-PL"/>
              </w:rPr>
            </w:pPr>
            <w:r w:rsidRPr="00465772">
              <w:rPr>
                <w:noProof/>
                <w:sz w:val="22"/>
                <w:szCs w:val="22"/>
                <w:lang w:val="pl-PL"/>
              </w:rPr>
              <w:t>Miškų ūkio paskirties žemei (710)</w:t>
            </w:r>
          </w:p>
        </w:tc>
        <w:tc>
          <w:tcPr>
            <w:tcW w:w="2007" w:type="dxa"/>
          </w:tcPr>
          <w:p w:rsidR="00AB74BE" w:rsidRPr="00465772" w:rsidRDefault="00AB74BE" w:rsidP="00465772">
            <w:pPr>
              <w:spacing w:line="360" w:lineRule="auto"/>
              <w:jc w:val="center"/>
              <w:rPr>
                <w:noProof/>
                <w:sz w:val="22"/>
                <w:szCs w:val="22"/>
                <w:lang w:val="pl-PL"/>
              </w:rPr>
            </w:pPr>
            <w:r w:rsidRPr="00465772">
              <w:rPr>
                <w:noProof/>
                <w:sz w:val="22"/>
                <w:szCs w:val="22"/>
                <w:lang w:val="pl-PL"/>
              </w:rPr>
              <w:t>1,5</w:t>
            </w:r>
          </w:p>
        </w:tc>
      </w:tr>
      <w:tr w:rsidR="00AB74BE" w:rsidRPr="00465772">
        <w:tc>
          <w:tcPr>
            <w:tcW w:w="648" w:type="dxa"/>
          </w:tcPr>
          <w:p w:rsidR="00AB74BE" w:rsidRPr="00465772" w:rsidRDefault="00AB74BE" w:rsidP="00465772">
            <w:pPr>
              <w:spacing w:line="360" w:lineRule="auto"/>
              <w:jc w:val="right"/>
              <w:rPr>
                <w:noProof/>
                <w:sz w:val="22"/>
                <w:szCs w:val="22"/>
                <w:lang w:val="pl-PL"/>
              </w:rPr>
            </w:pPr>
            <w:r w:rsidRPr="00465772">
              <w:rPr>
                <w:noProof/>
                <w:sz w:val="22"/>
                <w:szCs w:val="22"/>
                <w:lang w:val="pl-PL"/>
              </w:rPr>
              <w:t>4.</w:t>
            </w:r>
          </w:p>
        </w:tc>
        <w:tc>
          <w:tcPr>
            <w:tcW w:w="5580" w:type="dxa"/>
          </w:tcPr>
          <w:p w:rsidR="00AB74BE" w:rsidRPr="00465772" w:rsidRDefault="00AB74BE" w:rsidP="00465772">
            <w:pPr>
              <w:spacing w:line="360" w:lineRule="auto"/>
              <w:jc w:val="both"/>
              <w:rPr>
                <w:noProof/>
                <w:sz w:val="22"/>
                <w:szCs w:val="22"/>
                <w:lang w:val="pl-PL"/>
              </w:rPr>
            </w:pPr>
            <w:r w:rsidRPr="00465772">
              <w:rPr>
                <w:noProof/>
                <w:sz w:val="22"/>
                <w:szCs w:val="22"/>
                <w:lang w:val="pl-PL"/>
              </w:rPr>
              <w:t>Konservacinei žemei (810)</w:t>
            </w:r>
          </w:p>
        </w:tc>
        <w:tc>
          <w:tcPr>
            <w:tcW w:w="2007" w:type="dxa"/>
          </w:tcPr>
          <w:p w:rsidR="00AB74BE" w:rsidRPr="00465772" w:rsidRDefault="00AB74BE" w:rsidP="00465772">
            <w:pPr>
              <w:spacing w:line="360" w:lineRule="auto"/>
              <w:jc w:val="center"/>
              <w:rPr>
                <w:noProof/>
                <w:sz w:val="22"/>
                <w:szCs w:val="22"/>
                <w:lang w:val="pl-PL"/>
              </w:rPr>
            </w:pPr>
            <w:r w:rsidRPr="00465772">
              <w:rPr>
                <w:noProof/>
                <w:sz w:val="22"/>
                <w:szCs w:val="22"/>
                <w:lang w:val="pl-PL"/>
              </w:rPr>
              <w:t>1,5</w:t>
            </w:r>
          </w:p>
        </w:tc>
      </w:tr>
      <w:tr w:rsidR="00AB74BE" w:rsidRPr="00465772">
        <w:tc>
          <w:tcPr>
            <w:tcW w:w="648" w:type="dxa"/>
          </w:tcPr>
          <w:p w:rsidR="00AB74BE" w:rsidRPr="00465772" w:rsidRDefault="00AB74BE" w:rsidP="00465772">
            <w:pPr>
              <w:spacing w:line="360" w:lineRule="auto"/>
              <w:jc w:val="right"/>
              <w:rPr>
                <w:noProof/>
                <w:sz w:val="22"/>
                <w:szCs w:val="22"/>
                <w:lang w:val="pl-PL"/>
              </w:rPr>
            </w:pPr>
            <w:r w:rsidRPr="00465772">
              <w:rPr>
                <w:noProof/>
                <w:sz w:val="22"/>
                <w:szCs w:val="22"/>
                <w:lang w:val="pl-PL"/>
              </w:rPr>
              <w:t>5.</w:t>
            </w:r>
          </w:p>
        </w:tc>
        <w:tc>
          <w:tcPr>
            <w:tcW w:w="5580" w:type="dxa"/>
          </w:tcPr>
          <w:p w:rsidR="00AB74BE" w:rsidRPr="00465772" w:rsidRDefault="00AB74BE" w:rsidP="00465772">
            <w:pPr>
              <w:spacing w:line="360" w:lineRule="auto"/>
              <w:jc w:val="both"/>
              <w:rPr>
                <w:noProof/>
                <w:sz w:val="22"/>
                <w:szCs w:val="22"/>
                <w:lang w:val="pl-PL"/>
              </w:rPr>
            </w:pPr>
            <w:r w:rsidRPr="00465772">
              <w:rPr>
                <w:noProof/>
                <w:sz w:val="22"/>
                <w:szCs w:val="22"/>
                <w:lang w:val="pl-PL"/>
              </w:rPr>
              <w:t>Vandens ūkio žemei (820,992)</w:t>
            </w:r>
          </w:p>
        </w:tc>
        <w:tc>
          <w:tcPr>
            <w:tcW w:w="2007" w:type="dxa"/>
          </w:tcPr>
          <w:p w:rsidR="00AB74BE" w:rsidRPr="00465772" w:rsidRDefault="00AB74BE" w:rsidP="00465772">
            <w:pPr>
              <w:spacing w:line="360" w:lineRule="auto"/>
              <w:jc w:val="center"/>
              <w:rPr>
                <w:noProof/>
                <w:sz w:val="22"/>
                <w:szCs w:val="22"/>
                <w:lang w:val="pl-PL"/>
              </w:rPr>
            </w:pPr>
            <w:r w:rsidRPr="00465772">
              <w:rPr>
                <w:noProof/>
                <w:sz w:val="22"/>
                <w:szCs w:val="22"/>
                <w:lang w:val="pl-PL"/>
              </w:rPr>
              <w:t>1,5</w:t>
            </w:r>
          </w:p>
        </w:tc>
      </w:tr>
      <w:tr w:rsidR="00AB74BE" w:rsidRPr="00465772">
        <w:tc>
          <w:tcPr>
            <w:tcW w:w="648" w:type="dxa"/>
          </w:tcPr>
          <w:p w:rsidR="00AB74BE" w:rsidRPr="00465772" w:rsidRDefault="00AB74BE" w:rsidP="00465772">
            <w:pPr>
              <w:spacing w:line="360" w:lineRule="auto"/>
              <w:jc w:val="right"/>
              <w:rPr>
                <w:noProof/>
                <w:sz w:val="22"/>
                <w:szCs w:val="22"/>
                <w:lang w:val="pl-PL"/>
              </w:rPr>
            </w:pPr>
            <w:r w:rsidRPr="00465772">
              <w:rPr>
                <w:noProof/>
                <w:sz w:val="22"/>
                <w:szCs w:val="22"/>
                <w:lang w:val="pl-PL"/>
              </w:rPr>
              <w:t>6.</w:t>
            </w:r>
          </w:p>
        </w:tc>
        <w:tc>
          <w:tcPr>
            <w:tcW w:w="5580" w:type="dxa"/>
          </w:tcPr>
          <w:p w:rsidR="00AB74BE" w:rsidRPr="00465772" w:rsidRDefault="00AB74BE" w:rsidP="00465772">
            <w:pPr>
              <w:spacing w:line="360" w:lineRule="auto"/>
              <w:jc w:val="both"/>
              <w:rPr>
                <w:noProof/>
                <w:sz w:val="22"/>
                <w:szCs w:val="22"/>
                <w:lang w:val="pl-PL"/>
              </w:rPr>
            </w:pPr>
            <w:r w:rsidRPr="00465772">
              <w:rPr>
                <w:noProof/>
                <w:sz w:val="22"/>
                <w:szCs w:val="22"/>
                <w:lang w:val="pl-PL"/>
              </w:rPr>
              <w:t>Gyvenamųjų teritorijų žemei (314, 327, 330, 331)</w:t>
            </w:r>
          </w:p>
        </w:tc>
        <w:tc>
          <w:tcPr>
            <w:tcW w:w="2007" w:type="dxa"/>
          </w:tcPr>
          <w:p w:rsidR="00AB74BE" w:rsidRPr="00465772" w:rsidRDefault="00AB74BE" w:rsidP="00465772">
            <w:pPr>
              <w:spacing w:line="360" w:lineRule="auto"/>
              <w:jc w:val="center"/>
              <w:rPr>
                <w:noProof/>
                <w:sz w:val="22"/>
                <w:szCs w:val="22"/>
                <w:lang w:val="pl-PL"/>
              </w:rPr>
            </w:pPr>
            <w:r w:rsidRPr="00465772">
              <w:rPr>
                <w:noProof/>
                <w:sz w:val="22"/>
                <w:szCs w:val="22"/>
                <w:lang w:val="pl-PL"/>
              </w:rPr>
              <w:t>0,3</w:t>
            </w:r>
          </w:p>
        </w:tc>
      </w:tr>
      <w:tr w:rsidR="00AB74BE" w:rsidRPr="00465772">
        <w:tc>
          <w:tcPr>
            <w:tcW w:w="648" w:type="dxa"/>
          </w:tcPr>
          <w:p w:rsidR="00AB74BE" w:rsidRPr="00465772" w:rsidRDefault="00AB74BE" w:rsidP="00465772">
            <w:pPr>
              <w:spacing w:line="360" w:lineRule="auto"/>
              <w:jc w:val="right"/>
              <w:rPr>
                <w:noProof/>
                <w:sz w:val="22"/>
                <w:szCs w:val="22"/>
                <w:lang w:val="pl-PL"/>
              </w:rPr>
            </w:pPr>
            <w:r w:rsidRPr="00465772">
              <w:rPr>
                <w:noProof/>
                <w:sz w:val="22"/>
                <w:szCs w:val="22"/>
                <w:lang w:val="pl-PL"/>
              </w:rPr>
              <w:t>7.</w:t>
            </w:r>
          </w:p>
        </w:tc>
        <w:tc>
          <w:tcPr>
            <w:tcW w:w="5580" w:type="dxa"/>
          </w:tcPr>
          <w:p w:rsidR="00AB74BE" w:rsidRPr="00465772" w:rsidRDefault="00AB74BE" w:rsidP="00465772">
            <w:pPr>
              <w:spacing w:line="360" w:lineRule="auto"/>
              <w:rPr>
                <w:sz w:val="22"/>
                <w:szCs w:val="22"/>
              </w:rPr>
            </w:pPr>
            <w:r w:rsidRPr="00465772">
              <w:rPr>
                <w:noProof/>
                <w:sz w:val="22"/>
                <w:szCs w:val="22"/>
                <w:lang w:val="pl-PL"/>
              </w:rPr>
              <w:t>Visuomeninės paskirties teritorijų (315)</w:t>
            </w:r>
          </w:p>
        </w:tc>
        <w:tc>
          <w:tcPr>
            <w:tcW w:w="2007" w:type="dxa"/>
          </w:tcPr>
          <w:p w:rsidR="00AB74BE" w:rsidRPr="00465772" w:rsidRDefault="00AB74BE" w:rsidP="00465772">
            <w:pPr>
              <w:spacing w:line="360" w:lineRule="auto"/>
              <w:jc w:val="center"/>
              <w:rPr>
                <w:noProof/>
                <w:sz w:val="22"/>
                <w:szCs w:val="22"/>
                <w:lang w:val="pl-PL"/>
              </w:rPr>
            </w:pPr>
            <w:r w:rsidRPr="00465772">
              <w:rPr>
                <w:noProof/>
                <w:sz w:val="22"/>
                <w:szCs w:val="22"/>
                <w:lang w:val="pl-PL"/>
              </w:rPr>
              <w:t>0,3</w:t>
            </w:r>
          </w:p>
        </w:tc>
      </w:tr>
      <w:tr w:rsidR="00AB74BE" w:rsidRPr="00465772">
        <w:tc>
          <w:tcPr>
            <w:tcW w:w="648" w:type="dxa"/>
          </w:tcPr>
          <w:p w:rsidR="00AB74BE" w:rsidRPr="00465772" w:rsidRDefault="00AB74BE" w:rsidP="00465772">
            <w:pPr>
              <w:spacing w:line="360" w:lineRule="auto"/>
              <w:jc w:val="right"/>
              <w:rPr>
                <w:noProof/>
                <w:sz w:val="22"/>
                <w:szCs w:val="22"/>
                <w:lang w:val="pl-PL"/>
              </w:rPr>
            </w:pPr>
            <w:r w:rsidRPr="00465772">
              <w:rPr>
                <w:noProof/>
                <w:sz w:val="22"/>
                <w:szCs w:val="22"/>
                <w:lang w:val="pl-PL"/>
              </w:rPr>
              <w:t>8.</w:t>
            </w:r>
          </w:p>
        </w:tc>
        <w:tc>
          <w:tcPr>
            <w:tcW w:w="5580" w:type="dxa"/>
          </w:tcPr>
          <w:p w:rsidR="00AB74BE" w:rsidRPr="00465772" w:rsidRDefault="00AB74BE" w:rsidP="00465772">
            <w:pPr>
              <w:spacing w:line="360" w:lineRule="auto"/>
              <w:rPr>
                <w:sz w:val="22"/>
                <w:szCs w:val="22"/>
              </w:rPr>
            </w:pPr>
            <w:r w:rsidRPr="00465772">
              <w:rPr>
                <w:noProof/>
                <w:sz w:val="22"/>
                <w:szCs w:val="22"/>
                <w:lang w:val="pl-PL"/>
              </w:rPr>
              <w:t>Pramonės ir sandėliavimo objektų teritorijų (316)</w:t>
            </w:r>
          </w:p>
        </w:tc>
        <w:tc>
          <w:tcPr>
            <w:tcW w:w="2007" w:type="dxa"/>
          </w:tcPr>
          <w:p w:rsidR="00AB74BE" w:rsidRPr="00465772" w:rsidRDefault="00AB74BE" w:rsidP="00465772">
            <w:pPr>
              <w:spacing w:line="360" w:lineRule="auto"/>
              <w:jc w:val="center"/>
              <w:rPr>
                <w:noProof/>
                <w:sz w:val="22"/>
                <w:szCs w:val="22"/>
                <w:lang w:val="pl-PL"/>
              </w:rPr>
            </w:pPr>
            <w:r w:rsidRPr="00465772">
              <w:rPr>
                <w:noProof/>
                <w:sz w:val="22"/>
                <w:szCs w:val="22"/>
                <w:lang w:val="pl-PL"/>
              </w:rPr>
              <w:t>1,0</w:t>
            </w:r>
          </w:p>
        </w:tc>
      </w:tr>
      <w:tr w:rsidR="00AB74BE" w:rsidRPr="00465772">
        <w:tc>
          <w:tcPr>
            <w:tcW w:w="648" w:type="dxa"/>
          </w:tcPr>
          <w:p w:rsidR="00AB74BE" w:rsidRPr="00465772" w:rsidRDefault="00AB74BE" w:rsidP="00465772">
            <w:pPr>
              <w:spacing w:line="360" w:lineRule="auto"/>
              <w:jc w:val="right"/>
              <w:rPr>
                <w:noProof/>
                <w:sz w:val="22"/>
                <w:szCs w:val="22"/>
                <w:lang w:val="pl-PL"/>
              </w:rPr>
            </w:pPr>
            <w:r w:rsidRPr="00465772">
              <w:rPr>
                <w:noProof/>
                <w:sz w:val="22"/>
                <w:szCs w:val="22"/>
                <w:lang w:val="pl-PL"/>
              </w:rPr>
              <w:t>9.</w:t>
            </w:r>
          </w:p>
        </w:tc>
        <w:tc>
          <w:tcPr>
            <w:tcW w:w="5580" w:type="dxa"/>
          </w:tcPr>
          <w:p w:rsidR="00AB74BE" w:rsidRPr="00465772" w:rsidRDefault="00AB74BE" w:rsidP="00465772">
            <w:pPr>
              <w:spacing w:line="360" w:lineRule="auto"/>
              <w:rPr>
                <w:sz w:val="22"/>
                <w:szCs w:val="22"/>
              </w:rPr>
            </w:pPr>
            <w:r w:rsidRPr="00465772">
              <w:rPr>
                <w:noProof/>
                <w:sz w:val="22"/>
                <w:szCs w:val="22"/>
                <w:lang w:val="pl-PL"/>
              </w:rPr>
              <w:t>Komercinės paskirties objektų teritorijų (317)</w:t>
            </w:r>
          </w:p>
        </w:tc>
        <w:tc>
          <w:tcPr>
            <w:tcW w:w="2007" w:type="dxa"/>
          </w:tcPr>
          <w:p w:rsidR="00AB74BE" w:rsidRPr="00465772" w:rsidRDefault="00AB74BE" w:rsidP="00465772">
            <w:pPr>
              <w:spacing w:line="360" w:lineRule="auto"/>
              <w:jc w:val="center"/>
              <w:rPr>
                <w:noProof/>
                <w:sz w:val="22"/>
                <w:szCs w:val="22"/>
                <w:lang w:val="pl-PL"/>
              </w:rPr>
            </w:pPr>
            <w:r w:rsidRPr="00465772">
              <w:rPr>
                <w:noProof/>
                <w:sz w:val="22"/>
                <w:szCs w:val="22"/>
                <w:lang w:val="pl-PL"/>
              </w:rPr>
              <w:t>1,0</w:t>
            </w:r>
          </w:p>
        </w:tc>
      </w:tr>
      <w:tr w:rsidR="00AB74BE" w:rsidRPr="00465772">
        <w:tc>
          <w:tcPr>
            <w:tcW w:w="648" w:type="dxa"/>
          </w:tcPr>
          <w:p w:rsidR="00AB74BE" w:rsidRPr="00465772" w:rsidRDefault="00AB74BE" w:rsidP="00465772">
            <w:pPr>
              <w:spacing w:line="360" w:lineRule="auto"/>
              <w:jc w:val="right"/>
              <w:rPr>
                <w:noProof/>
                <w:sz w:val="22"/>
                <w:szCs w:val="22"/>
                <w:lang w:val="pl-PL"/>
              </w:rPr>
            </w:pPr>
            <w:r w:rsidRPr="00465772">
              <w:rPr>
                <w:noProof/>
                <w:sz w:val="22"/>
                <w:szCs w:val="22"/>
                <w:lang w:val="pl-PL"/>
              </w:rPr>
              <w:t>10.</w:t>
            </w:r>
          </w:p>
        </w:tc>
        <w:tc>
          <w:tcPr>
            <w:tcW w:w="5580" w:type="dxa"/>
          </w:tcPr>
          <w:p w:rsidR="00AB74BE" w:rsidRPr="00465772" w:rsidRDefault="00AB74BE" w:rsidP="00465772">
            <w:pPr>
              <w:spacing w:line="360" w:lineRule="auto"/>
              <w:rPr>
                <w:sz w:val="22"/>
                <w:szCs w:val="22"/>
              </w:rPr>
            </w:pPr>
            <w:r w:rsidRPr="00465772">
              <w:rPr>
                <w:noProof/>
                <w:sz w:val="22"/>
                <w:szCs w:val="22"/>
                <w:lang w:val="pl-PL"/>
              </w:rPr>
              <w:t>Inžinerinės infrastruktūros teritorijų (318, 332, 333)</w:t>
            </w:r>
          </w:p>
        </w:tc>
        <w:tc>
          <w:tcPr>
            <w:tcW w:w="2007" w:type="dxa"/>
          </w:tcPr>
          <w:p w:rsidR="00AB74BE" w:rsidRPr="00465772" w:rsidRDefault="00AB74BE" w:rsidP="00465772">
            <w:pPr>
              <w:spacing w:line="360" w:lineRule="auto"/>
              <w:jc w:val="center"/>
              <w:rPr>
                <w:noProof/>
                <w:sz w:val="22"/>
                <w:szCs w:val="22"/>
                <w:lang w:val="pl-PL"/>
              </w:rPr>
            </w:pPr>
            <w:r w:rsidRPr="00465772">
              <w:rPr>
                <w:noProof/>
                <w:sz w:val="22"/>
                <w:szCs w:val="22"/>
                <w:lang w:val="pl-PL"/>
              </w:rPr>
              <w:t>1,0</w:t>
            </w:r>
          </w:p>
        </w:tc>
      </w:tr>
      <w:tr w:rsidR="00AB74BE" w:rsidRPr="00465772">
        <w:tc>
          <w:tcPr>
            <w:tcW w:w="648" w:type="dxa"/>
          </w:tcPr>
          <w:p w:rsidR="00AB74BE" w:rsidRPr="00465772" w:rsidRDefault="00AB74BE" w:rsidP="00465772">
            <w:pPr>
              <w:spacing w:line="360" w:lineRule="auto"/>
              <w:jc w:val="right"/>
              <w:rPr>
                <w:noProof/>
                <w:sz w:val="22"/>
                <w:szCs w:val="22"/>
                <w:lang w:val="pl-PL"/>
              </w:rPr>
            </w:pPr>
            <w:r w:rsidRPr="00465772">
              <w:rPr>
                <w:noProof/>
                <w:sz w:val="22"/>
                <w:szCs w:val="22"/>
                <w:lang w:val="pl-PL"/>
              </w:rPr>
              <w:t>11.</w:t>
            </w:r>
          </w:p>
        </w:tc>
        <w:tc>
          <w:tcPr>
            <w:tcW w:w="5580" w:type="dxa"/>
          </w:tcPr>
          <w:p w:rsidR="00AB74BE" w:rsidRPr="00465772" w:rsidRDefault="00AB74BE" w:rsidP="00465772">
            <w:pPr>
              <w:spacing w:line="360" w:lineRule="auto"/>
              <w:rPr>
                <w:sz w:val="22"/>
                <w:szCs w:val="22"/>
              </w:rPr>
            </w:pPr>
            <w:r w:rsidRPr="00465772">
              <w:rPr>
                <w:noProof/>
                <w:sz w:val="22"/>
                <w:szCs w:val="22"/>
                <w:lang w:val="pl-PL"/>
              </w:rPr>
              <w:t>Naudingųjų iškasenų teritorijų (321)</w:t>
            </w:r>
          </w:p>
        </w:tc>
        <w:tc>
          <w:tcPr>
            <w:tcW w:w="2007" w:type="dxa"/>
          </w:tcPr>
          <w:p w:rsidR="00AB74BE" w:rsidRPr="00465772" w:rsidRDefault="00AB74BE" w:rsidP="00465772">
            <w:pPr>
              <w:spacing w:line="360" w:lineRule="auto"/>
              <w:jc w:val="center"/>
              <w:rPr>
                <w:noProof/>
                <w:sz w:val="22"/>
                <w:szCs w:val="22"/>
                <w:lang w:val="pl-PL"/>
              </w:rPr>
            </w:pPr>
            <w:r w:rsidRPr="00465772">
              <w:rPr>
                <w:noProof/>
                <w:sz w:val="22"/>
                <w:szCs w:val="22"/>
                <w:lang w:val="pl-PL"/>
              </w:rPr>
              <w:t>4,0</w:t>
            </w:r>
          </w:p>
        </w:tc>
      </w:tr>
      <w:tr w:rsidR="00AB74BE" w:rsidRPr="00465772">
        <w:tc>
          <w:tcPr>
            <w:tcW w:w="648" w:type="dxa"/>
          </w:tcPr>
          <w:p w:rsidR="00AB74BE" w:rsidRPr="00465772" w:rsidRDefault="00AB74BE" w:rsidP="00465772">
            <w:pPr>
              <w:spacing w:line="360" w:lineRule="auto"/>
              <w:jc w:val="right"/>
              <w:rPr>
                <w:noProof/>
                <w:sz w:val="22"/>
                <w:szCs w:val="22"/>
                <w:lang w:val="pl-PL"/>
              </w:rPr>
            </w:pPr>
            <w:r w:rsidRPr="00465772">
              <w:rPr>
                <w:noProof/>
                <w:sz w:val="22"/>
                <w:szCs w:val="22"/>
                <w:lang w:val="pl-PL"/>
              </w:rPr>
              <w:t>12.</w:t>
            </w:r>
          </w:p>
        </w:tc>
        <w:tc>
          <w:tcPr>
            <w:tcW w:w="5580" w:type="dxa"/>
          </w:tcPr>
          <w:p w:rsidR="00AB74BE" w:rsidRPr="00465772" w:rsidRDefault="00AB74BE" w:rsidP="00465772">
            <w:pPr>
              <w:spacing w:line="360" w:lineRule="auto"/>
              <w:rPr>
                <w:sz w:val="22"/>
                <w:szCs w:val="22"/>
              </w:rPr>
            </w:pPr>
            <w:r w:rsidRPr="00465772">
              <w:rPr>
                <w:noProof/>
                <w:sz w:val="22"/>
                <w:szCs w:val="22"/>
                <w:lang w:val="pl-PL"/>
              </w:rPr>
              <w:t>Rekreacinių teritorijų (319)</w:t>
            </w:r>
          </w:p>
        </w:tc>
        <w:tc>
          <w:tcPr>
            <w:tcW w:w="2007" w:type="dxa"/>
          </w:tcPr>
          <w:p w:rsidR="00AB74BE" w:rsidRPr="00465772" w:rsidRDefault="00AB74BE" w:rsidP="00465772">
            <w:pPr>
              <w:spacing w:line="360" w:lineRule="auto"/>
              <w:jc w:val="center"/>
              <w:rPr>
                <w:noProof/>
                <w:sz w:val="22"/>
                <w:szCs w:val="22"/>
                <w:lang w:val="pl-PL"/>
              </w:rPr>
            </w:pPr>
            <w:r w:rsidRPr="00465772">
              <w:rPr>
                <w:noProof/>
                <w:sz w:val="22"/>
                <w:szCs w:val="22"/>
                <w:lang w:val="pl-PL"/>
              </w:rPr>
              <w:t>1,0</w:t>
            </w:r>
          </w:p>
        </w:tc>
      </w:tr>
      <w:tr w:rsidR="00AB74BE" w:rsidRPr="00465772">
        <w:tc>
          <w:tcPr>
            <w:tcW w:w="648" w:type="dxa"/>
          </w:tcPr>
          <w:p w:rsidR="00AB74BE" w:rsidRPr="00465772" w:rsidRDefault="00AB74BE" w:rsidP="00465772">
            <w:pPr>
              <w:spacing w:line="360" w:lineRule="auto"/>
              <w:jc w:val="right"/>
              <w:rPr>
                <w:noProof/>
                <w:sz w:val="22"/>
                <w:szCs w:val="22"/>
                <w:lang w:val="pl-PL"/>
              </w:rPr>
            </w:pPr>
            <w:r w:rsidRPr="00465772">
              <w:rPr>
                <w:noProof/>
                <w:sz w:val="22"/>
                <w:szCs w:val="22"/>
                <w:lang w:val="pl-PL"/>
              </w:rPr>
              <w:t>13.</w:t>
            </w:r>
          </w:p>
        </w:tc>
        <w:tc>
          <w:tcPr>
            <w:tcW w:w="5580" w:type="dxa"/>
          </w:tcPr>
          <w:p w:rsidR="00AB74BE" w:rsidRPr="00465772" w:rsidRDefault="00AB74BE" w:rsidP="00465772">
            <w:pPr>
              <w:spacing w:line="360" w:lineRule="auto"/>
              <w:rPr>
                <w:noProof/>
                <w:sz w:val="22"/>
                <w:szCs w:val="22"/>
                <w:lang w:val="pl-PL"/>
              </w:rPr>
            </w:pPr>
            <w:r w:rsidRPr="00465772">
              <w:rPr>
                <w:noProof/>
                <w:sz w:val="22"/>
                <w:szCs w:val="22"/>
                <w:lang w:val="pl-PL"/>
              </w:rPr>
              <w:t>Kitoms į lentelės 1–12 eilutėse nurodytas paskirtis nepatenkančioms paskirtims (būdams)</w:t>
            </w:r>
          </w:p>
        </w:tc>
        <w:tc>
          <w:tcPr>
            <w:tcW w:w="2007" w:type="dxa"/>
          </w:tcPr>
          <w:p w:rsidR="00AB74BE" w:rsidRPr="00465772" w:rsidRDefault="00AB74BE" w:rsidP="00465772">
            <w:pPr>
              <w:spacing w:line="360" w:lineRule="auto"/>
              <w:jc w:val="center"/>
              <w:rPr>
                <w:noProof/>
                <w:sz w:val="22"/>
                <w:szCs w:val="22"/>
                <w:lang w:val="pl-PL"/>
              </w:rPr>
            </w:pPr>
            <w:r w:rsidRPr="00465772">
              <w:rPr>
                <w:noProof/>
                <w:sz w:val="22"/>
                <w:szCs w:val="22"/>
                <w:lang w:val="pl-PL"/>
              </w:rPr>
              <w:t>1,5</w:t>
            </w:r>
          </w:p>
        </w:tc>
      </w:tr>
    </w:tbl>
    <w:p w:rsidR="00AB74BE" w:rsidRDefault="00AB74BE" w:rsidP="000D4D7D">
      <w:pPr>
        <w:pStyle w:val="BodyTextIndent"/>
        <w:spacing w:line="360" w:lineRule="auto"/>
        <w:ind w:left="0"/>
        <w:rPr>
          <w:lang w:val="pl-PL"/>
        </w:rPr>
        <w:sectPr w:rsidR="00AB74BE" w:rsidSect="000D4D7D">
          <w:type w:val="continuous"/>
          <w:pgSz w:w="11907" w:h="16840"/>
          <w:pgMar w:top="1134" w:right="567" w:bottom="719" w:left="1701" w:header="567" w:footer="567" w:gutter="0"/>
          <w:cols w:space="1296"/>
        </w:sectPr>
      </w:pPr>
    </w:p>
    <w:p w:rsidR="00AB74BE" w:rsidRDefault="00AB74BE" w:rsidP="000D4D7D">
      <w:pPr>
        <w:pStyle w:val="BodyTextIndent"/>
        <w:spacing w:line="360" w:lineRule="auto"/>
        <w:ind w:left="0"/>
        <w:rPr>
          <w:lang w:val="pl-PL"/>
        </w:rPr>
      </w:pPr>
      <w:r>
        <w:rPr>
          <w:lang w:val="pl-PL"/>
        </w:rPr>
        <w:t xml:space="preserve">     </w:t>
      </w:r>
    </w:p>
    <w:p w:rsidR="00AB74BE" w:rsidRPr="00D30AB5" w:rsidRDefault="00AB74BE" w:rsidP="00AF01EE">
      <w:pPr>
        <w:pStyle w:val="BodyTextIndent"/>
        <w:spacing w:line="360" w:lineRule="auto"/>
        <w:ind w:left="0" w:firstLine="720"/>
        <w:rPr>
          <w:lang w:val="pl-PL"/>
        </w:rPr>
      </w:pPr>
      <w:r w:rsidRPr="00CA1EDB">
        <w:rPr>
          <w:lang w:val="pl-PL"/>
        </w:rPr>
        <w:t>1.2</w:t>
      </w:r>
      <w:r w:rsidRPr="00CA1EDB">
        <w:rPr>
          <w:szCs w:val="24"/>
          <w:lang w:val="pl-PL"/>
        </w:rPr>
        <w:t xml:space="preserve">.  </w:t>
      </w:r>
      <w:r w:rsidRPr="00CA1EDB">
        <w:rPr>
          <w:szCs w:val="24"/>
        </w:rPr>
        <w:t>netvarkomiems ir apleistiems žemės sklypams, arba naudojamiems ne pagal paskirtį žemės sklypams (neatsižvelgiant į žemės paskirtį) – 4</w:t>
      </w:r>
      <w:r w:rsidRPr="00CA1EDB">
        <w:rPr>
          <w:szCs w:val="24"/>
          <w:lang w:val="pl-PL"/>
        </w:rPr>
        <w:t xml:space="preserve"> </w:t>
      </w:r>
      <w:r w:rsidRPr="00CA1EDB">
        <w:rPr>
          <w:szCs w:val="24"/>
        </w:rPr>
        <w:t>procentai.</w:t>
      </w:r>
    </w:p>
    <w:p w:rsidR="00AB74BE" w:rsidRPr="00CA1EDB" w:rsidRDefault="00AB74BE" w:rsidP="00AF01EE">
      <w:pPr>
        <w:spacing w:line="360" w:lineRule="auto"/>
        <w:ind w:firstLine="720"/>
        <w:jc w:val="both"/>
      </w:pPr>
      <w:r>
        <w:t xml:space="preserve">  </w:t>
      </w:r>
      <w:r w:rsidRPr="00CA1EDB">
        <w:t>2. Nustatyti 201</w:t>
      </w:r>
      <w:r>
        <w:t>8</w:t>
      </w:r>
      <w:r w:rsidRPr="00CA1EDB">
        <w:t xml:space="preserve"> metams žemės mokesčiu neapmokestinamus žemės sklypų dydžius asmenims, </w:t>
      </w:r>
      <w:r>
        <w:t>kuriems nustatytas 0–40 procentų darbingumo lygis (iki 2007 m. birželio 30 d. – I ir II grupės invalidams), asmenims, kuriems sukako senatvės pensijos amžius, nepilnamečiams vaikams (iki jiems sukaks 18 metų, dieninių skyrių mokymo įstaigų moksleiviams ir studentams), jei šių žemės savininkų šeimose apmokestinamo laikotarpio pradžioje nėra darbingų asmenų</w:t>
      </w:r>
      <w:r w:rsidRPr="00CA1EDB">
        <w:t>:</w:t>
      </w:r>
    </w:p>
    <w:p w:rsidR="00AB74BE" w:rsidRPr="00CA1EDB" w:rsidRDefault="00AB74BE" w:rsidP="00AF01EE">
      <w:pPr>
        <w:pStyle w:val="BodyText"/>
        <w:spacing w:line="360" w:lineRule="auto"/>
      </w:pPr>
      <w:r>
        <w:t xml:space="preserve">               </w:t>
      </w:r>
      <w:r w:rsidRPr="00CA1EDB">
        <w:t xml:space="preserve">2.1. miestų teritorijoje – </w:t>
      </w:r>
      <w:smartTag w:uri="urn:schemas-microsoft-com:office:smarttags" w:element="metricconverter">
        <w:smartTagPr>
          <w:attr w:name="ProductID" w:val="0,05 ha"/>
        </w:smartTagPr>
        <w:r w:rsidRPr="00CA1EDB">
          <w:t>0,05 ha</w:t>
        </w:r>
      </w:smartTag>
      <w:r w:rsidRPr="00CA1EDB">
        <w:t>;</w:t>
      </w:r>
    </w:p>
    <w:p w:rsidR="00AB74BE" w:rsidRPr="00CA1EDB" w:rsidRDefault="00AB74BE" w:rsidP="008B28E1">
      <w:pPr>
        <w:pStyle w:val="BodyText"/>
        <w:spacing w:line="360" w:lineRule="auto"/>
      </w:pPr>
      <w:r>
        <w:t xml:space="preserve">               </w:t>
      </w:r>
      <w:r w:rsidRPr="00CA1EDB">
        <w:t xml:space="preserve">2.2. kaimo vietovėje – </w:t>
      </w:r>
      <w:smartTag w:uri="urn:schemas-microsoft-com:office:smarttags" w:element="metricconverter">
        <w:smartTagPr>
          <w:attr w:name="ProductID" w:val="1,00 ha"/>
        </w:smartTagPr>
        <w:r w:rsidRPr="00CA1EDB">
          <w:t>1,00 ha</w:t>
        </w:r>
      </w:smartTag>
      <w:r w:rsidRPr="00CA1EDB">
        <w:t xml:space="preserve">. </w:t>
      </w:r>
    </w:p>
    <w:p w:rsidR="00AB74BE" w:rsidRDefault="00AB74BE" w:rsidP="00A94D0C">
      <w:pPr>
        <w:overflowPunct/>
        <w:autoSpaceDE/>
        <w:adjustRightInd/>
        <w:spacing w:line="360" w:lineRule="auto"/>
        <w:ind w:firstLine="720"/>
        <w:jc w:val="both"/>
      </w:pPr>
      <w:r>
        <w:rPr>
          <w:color w:val="000000"/>
        </w:rPr>
        <w:t xml:space="preserve">   3</w:t>
      </w:r>
      <w:r>
        <w:t>. Sprendimą paskelbti Teisės aktų registre ir Pagėgių savivaldybės interneto svetainėje  www.pagegiai.lt.</w:t>
      </w:r>
    </w:p>
    <w:p w:rsidR="00AB74BE" w:rsidRDefault="00AB74BE" w:rsidP="00A94D0C">
      <w:pPr>
        <w:overflowPunct/>
        <w:autoSpaceDE/>
        <w:adjustRightInd/>
        <w:spacing w:line="360" w:lineRule="auto"/>
        <w:ind w:firstLine="720"/>
        <w:jc w:val="both"/>
        <w:rPr>
          <w:szCs w:val="24"/>
        </w:rPr>
      </w:pPr>
      <w:r>
        <w:t xml:space="preserve">   Š</w:t>
      </w:r>
      <w:r>
        <w:rPr>
          <w:szCs w:val="24"/>
        </w:rPr>
        <w:t>is sprendimas gali būti skundžiamas Lietuvos Respublikos administracinių bylų teisenos įstatymo nustatyta tvarka.</w:t>
      </w:r>
    </w:p>
    <w:p w:rsidR="00AB74BE" w:rsidRDefault="00AB74BE" w:rsidP="00A94D0C">
      <w:pPr>
        <w:spacing w:line="360" w:lineRule="auto"/>
        <w:jc w:val="both"/>
        <w:outlineLvl w:val="0"/>
        <w:rPr>
          <w:szCs w:val="24"/>
        </w:rPr>
      </w:pPr>
    </w:p>
    <w:p w:rsidR="00AB74BE" w:rsidRDefault="00AB74BE" w:rsidP="00A94D0C">
      <w:pPr>
        <w:spacing w:line="360" w:lineRule="auto"/>
        <w:jc w:val="both"/>
        <w:outlineLvl w:val="0"/>
        <w:rPr>
          <w:szCs w:val="24"/>
        </w:rPr>
      </w:pPr>
    </w:p>
    <w:p w:rsidR="00AB74BE" w:rsidRDefault="00AB74BE" w:rsidP="00C3035F">
      <w:pPr>
        <w:spacing w:line="360" w:lineRule="auto"/>
        <w:jc w:val="both"/>
      </w:pPr>
    </w:p>
    <w:p w:rsidR="00AB74BE" w:rsidRDefault="00AB74BE" w:rsidP="00C3035F"/>
    <w:p w:rsidR="00AB74BE" w:rsidRDefault="00AB74BE" w:rsidP="00FF599D">
      <w:pPr>
        <w:jc w:val="both"/>
        <w:rPr>
          <w:szCs w:val="24"/>
        </w:rPr>
      </w:pPr>
      <w:r>
        <w:rPr>
          <w:szCs w:val="24"/>
        </w:rPr>
        <w:t>Savivaldybės meras</w:t>
      </w:r>
      <w:r>
        <w:rPr>
          <w:szCs w:val="24"/>
        </w:rPr>
        <w:tab/>
      </w:r>
      <w:r>
        <w:rPr>
          <w:szCs w:val="24"/>
        </w:rPr>
        <w:tab/>
      </w:r>
      <w:r>
        <w:rPr>
          <w:szCs w:val="24"/>
        </w:rPr>
        <w:tab/>
      </w:r>
      <w:r>
        <w:rPr>
          <w:szCs w:val="24"/>
        </w:rPr>
        <w:tab/>
        <w:t xml:space="preserve">                    Virginijus Komskis</w:t>
      </w:r>
    </w:p>
    <w:p w:rsidR="00AB74BE" w:rsidRDefault="00AB74BE" w:rsidP="00C3035F">
      <w:pPr>
        <w:rPr>
          <w:lang w:val="pt-BR"/>
        </w:rPr>
      </w:pPr>
    </w:p>
    <w:p w:rsidR="00AB74BE" w:rsidRDefault="00AB74BE" w:rsidP="00C3035F">
      <w:pPr>
        <w:rPr>
          <w:lang w:val="pt-BR"/>
        </w:rPr>
      </w:pPr>
    </w:p>
    <w:p w:rsidR="00AB74BE" w:rsidRDefault="00AB74BE" w:rsidP="00C3035F">
      <w:pPr>
        <w:rPr>
          <w:lang w:val="pt-BR"/>
        </w:rPr>
      </w:pPr>
    </w:p>
    <w:p w:rsidR="00AB74BE" w:rsidRDefault="00AB74BE" w:rsidP="00C3035F">
      <w:pPr>
        <w:rPr>
          <w:lang w:val="pt-BR"/>
        </w:rPr>
      </w:pPr>
    </w:p>
    <w:p w:rsidR="00AB74BE" w:rsidRDefault="00AB74BE" w:rsidP="00C3035F">
      <w:pPr>
        <w:rPr>
          <w:lang w:val="pt-BR"/>
        </w:rPr>
      </w:pPr>
    </w:p>
    <w:p w:rsidR="00AB74BE" w:rsidRDefault="00AB74BE" w:rsidP="00C3035F">
      <w:pPr>
        <w:rPr>
          <w:lang w:val="pt-BR"/>
        </w:rPr>
      </w:pPr>
    </w:p>
    <w:p w:rsidR="00AB74BE" w:rsidRDefault="00AB74BE" w:rsidP="00C3035F">
      <w:pPr>
        <w:rPr>
          <w:lang w:val="pt-BR"/>
        </w:rPr>
      </w:pPr>
    </w:p>
    <w:p w:rsidR="00AB74BE" w:rsidRDefault="00AB74BE" w:rsidP="00C3035F">
      <w:pPr>
        <w:rPr>
          <w:lang w:val="pt-BR"/>
        </w:rPr>
      </w:pPr>
    </w:p>
    <w:p w:rsidR="00AB74BE" w:rsidRDefault="00AB74BE" w:rsidP="00C3035F">
      <w:pPr>
        <w:rPr>
          <w:lang w:val="pt-BR"/>
        </w:rPr>
      </w:pPr>
    </w:p>
    <w:p w:rsidR="00AB74BE" w:rsidRDefault="00AB74BE" w:rsidP="00C3035F">
      <w:pPr>
        <w:rPr>
          <w:lang w:val="pt-BR"/>
        </w:rPr>
      </w:pPr>
    </w:p>
    <w:p w:rsidR="00AB74BE" w:rsidRDefault="00AB74BE" w:rsidP="00C3035F">
      <w:pPr>
        <w:rPr>
          <w:lang w:val="pt-BR"/>
        </w:rPr>
      </w:pPr>
    </w:p>
    <w:p w:rsidR="00AB74BE" w:rsidRDefault="00AB74BE" w:rsidP="00C3035F">
      <w:pPr>
        <w:rPr>
          <w:lang w:val="pt-BR"/>
        </w:rPr>
      </w:pPr>
    </w:p>
    <w:p w:rsidR="00AB74BE" w:rsidRDefault="00AB74BE" w:rsidP="00C3035F">
      <w:pPr>
        <w:rPr>
          <w:lang w:val="pt-BR"/>
        </w:rPr>
      </w:pPr>
    </w:p>
    <w:p w:rsidR="00AB74BE" w:rsidRDefault="00AB74BE" w:rsidP="00C3035F">
      <w:pPr>
        <w:rPr>
          <w:lang w:val="pt-BR"/>
        </w:rPr>
      </w:pPr>
    </w:p>
    <w:p w:rsidR="00AB74BE" w:rsidRDefault="00AB74BE" w:rsidP="00C3035F">
      <w:pPr>
        <w:rPr>
          <w:lang w:val="pt-BR"/>
        </w:rPr>
      </w:pPr>
    </w:p>
    <w:p w:rsidR="00AB74BE" w:rsidRDefault="00AB74BE" w:rsidP="00C3035F">
      <w:pPr>
        <w:rPr>
          <w:lang w:val="pt-BR"/>
        </w:rPr>
      </w:pPr>
    </w:p>
    <w:sectPr w:rsidR="00AB74BE" w:rsidSect="000D4D7D">
      <w:type w:val="continuous"/>
      <w:pgSz w:w="11907" w:h="16840"/>
      <w:pgMar w:top="1134" w:right="567" w:bottom="719"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4BE" w:rsidRDefault="00AB74BE">
      <w:r>
        <w:separator/>
      </w:r>
    </w:p>
  </w:endnote>
  <w:endnote w:type="continuationSeparator" w:id="0">
    <w:p w:rsidR="00AB74BE" w:rsidRDefault="00AB7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4BE" w:rsidRDefault="00AB74BE">
      <w:r>
        <w:separator/>
      </w:r>
    </w:p>
  </w:footnote>
  <w:footnote w:type="continuationSeparator" w:id="0">
    <w:p w:rsidR="00AB74BE" w:rsidRDefault="00AB74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6702E"/>
    <w:multiLevelType w:val="hybridMultilevel"/>
    <w:tmpl w:val="D3808820"/>
    <w:lvl w:ilvl="0" w:tplc="5F70E432">
      <w:start w:val="4"/>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
    <w:nsid w:val="22FF5486"/>
    <w:multiLevelType w:val="hybridMultilevel"/>
    <w:tmpl w:val="841452B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70AC4446"/>
    <w:multiLevelType w:val="multilevel"/>
    <w:tmpl w:val="72A007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D7D"/>
    <w:rsid w:val="00040943"/>
    <w:rsid w:val="000C5BF7"/>
    <w:rsid w:val="000D4D7D"/>
    <w:rsid w:val="000E1B50"/>
    <w:rsid w:val="00125F34"/>
    <w:rsid w:val="0021034A"/>
    <w:rsid w:val="00225A4C"/>
    <w:rsid w:val="00252AE3"/>
    <w:rsid w:val="00260646"/>
    <w:rsid w:val="002A4ED3"/>
    <w:rsid w:val="002E390F"/>
    <w:rsid w:val="00373960"/>
    <w:rsid w:val="00380399"/>
    <w:rsid w:val="003B60D6"/>
    <w:rsid w:val="003E121F"/>
    <w:rsid w:val="003E4756"/>
    <w:rsid w:val="003E5C10"/>
    <w:rsid w:val="0045791B"/>
    <w:rsid w:val="00465772"/>
    <w:rsid w:val="004D42F3"/>
    <w:rsid w:val="00556735"/>
    <w:rsid w:val="00584962"/>
    <w:rsid w:val="005C4A7D"/>
    <w:rsid w:val="00656DC0"/>
    <w:rsid w:val="00667A78"/>
    <w:rsid w:val="006F162B"/>
    <w:rsid w:val="00752F31"/>
    <w:rsid w:val="00792228"/>
    <w:rsid w:val="007C3B9A"/>
    <w:rsid w:val="007E5E45"/>
    <w:rsid w:val="00800614"/>
    <w:rsid w:val="00842188"/>
    <w:rsid w:val="00847B68"/>
    <w:rsid w:val="008655C4"/>
    <w:rsid w:val="008B28E1"/>
    <w:rsid w:val="008B36D8"/>
    <w:rsid w:val="00912172"/>
    <w:rsid w:val="00953225"/>
    <w:rsid w:val="009C6268"/>
    <w:rsid w:val="00A0354A"/>
    <w:rsid w:val="00A26C00"/>
    <w:rsid w:val="00A3663C"/>
    <w:rsid w:val="00A67F11"/>
    <w:rsid w:val="00A94D0C"/>
    <w:rsid w:val="00AB74BE"/>
    <w:rsid w:val="00AF01EE"/>
    <w:rsid w:val="00B9050C"/>
    <w:rsid w:val="00C1770E"/>
    <w:rsid w:val="00C23EB3"/>
    <w:rsid w:val="00C3035F"/>
    <w:rsid w:val="00C3511A"/>
    <w:rsid w:val="00C61D68"/>
    <w:rsid w:val="00CA1EDB"/>
    <w:rsid w:val="00CB1BA8"/>
    <w:rsid w:val="00D30AB5"/>
    <w:rsid w:val="00D405AD"/>
    <w:rsid w:val="00D477EC"/>
    <w:rsid w:val="00E36B13"/>
    <w:rsid w:val="00E57F3A"/>
    <w:rsid w:val="00E65434"/>
    <w:rsid w:val="00EB70A3"/>
    <w:rsid w:val="00EC176B"/>
    <w:rsid w:val="00F23E95"/>
    <w:rsid w:val="00F3514E"/>
    <w:rsid w:val="00F91FBD"/>
    <w:rsid w:val="00F920C2"/>
    <w:rsid w:val="00F92FC7"/>
    <w:rsid w:val="00FF599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7D"/>
    <w:pPr>
      <w:overflowPunct w:val="0"/>
      <w:autoSpaceDE w:val="0"/>
      <w:autoSpaceDN w:val="0"/>
      <w:adjustRightInd w:val="0"/>
      <w:textAlignment w:val="baseline"/>
    </w:pPr>
    <w:rPr>
      <w:sz w:val="24"/>
      <w:szCs w:val="20"/>
      <w:lang w:eastAsia="en-US"/>
    </w:rPr>
  </w:style>
  <w:style w:type="paragraph" w:styleId="Heading2">
    <w:name w:val="heading 2"/>
    <w:basedOn w:val="Normal"/>
    <w:next w:val="Normal"/>
    <w:link w:val="Heading2Char"/>
    <w:uiPriority w:val="99"/>
    <w:qFormat/>
    <w:rsid w:val="000D4D7D"/>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paragraph" w:customStyle="1" w:styleId="statymopavad">
    <w:name w:val="?statymo pavad."/>
    <w:basedOn w:val="Normal"/>
    <w:uiPriority w:val="99"/>
    <w:rsid w:val="000D4D7D"/>
    <w:pPr>
      <w:overflowPunct/>
      <w:autoSpaceDE/>
      <w:autoSpaceDN/>
      <w:adjustRightInd/>
      <w:spacing w:line="360" w:lineRule="auto"/>
      <w:ind w:firstLine="720"/>
      <w:jc w:val="center"/>
      <w:textAlignment w:val="auto"/>
    </w:pPr>
    <w:rPr>
      <w:rFonts w:ascii="TimesLT" w:hAnsi="TimesLT"/>
      <w:caps/>
    </w:rPr>
  </w:style>
  <w:style w:type="character" w:styleId="Hyperlink">
    <w:name w:val="Hyperlink"/>
    <w:basedOn w:val="DefaultParagraphFont"/>
    <w:uiPriority w:val="99"/>
    <w:rsid w:val="000D4D7D"/>
    <w:rPr>
      <w:rFonts w:cs="Times New Roman"/>
      <w:color w:val="006666"/>
      <w:u w:val="single"/>
    </w:rPr>
  </w:style>
  <w:style w:type="paragraph" w:styleId="BodyText">
    <w:name w:val="Body Text"/>
    <w:basedOn w:val="Normal"/>
    <w:link w:val="BodyTextChar"/>
    <w:uiPriority w:val="99"/>
    <w:rsid w:val="000D4D7D"/>
    <w:pPr>
      <w:overflowPunct/>
      <w:autoSpaceDE/>
      <w:autoSpaceDN/>
      <w:adjustRightInd/>
      <w:jc w:val="both"/>
      <w:textAlignment w:val="auto"/>
    </w:pPr>
    <w:rPr>
      <w:szCs w:val="24"/>
    </w:rPr>
  </w:style>
  <w:style w:type="character" w:customStyle="1" w:styleId="BodyTextChar">
    <w:name w:val="Body Text Char"/>
    <w:basedOn w:val="DefaultParagraphFont"/>
    <w:link w:val="BodyText"/>
    <w:uiPriority w:val="99"/>
    <w:semiHidden/>
    <w:locked/>
    <w:rPr>
      <w:rFonts w:cs="Times New Roman"/>
      <w:sz w:val="24"/>
      <w:lang w:eastAsia="en-US"/>
    </w:rPr>
  </w:style>
  <w:style w:type="paragraph" w:customStyle="1" w:styleId="Char1CharChar">
    <w:name w:val="Char1 Char Char"/>
    <w:basedOn w:val="Normal"/>
    <w:uiPriority w:val="99"/>
    <w:rsid w:val="000D4D7D"/>
    <w:pPr>
      <w:overflowPunct/>
      <w:autoSpaceDE/>
      <w:autoSpaceDN/>
      <w:adjustRightInd/>
      <w:spacing w:after="160" w:line="240" w:lineRule="exact"/>
      <w:textAlignment w:val="auto"/>
    </w:pPr>
    <w:rPr>
      <w:rFonts w:ascii="Verdana" w:hAnsi="Verdana" w:cs="Verdana"/>
      <w:sz w:val="20"/>
      <w:lang w:val="en-US"/>
    </w:rPr>
  </w:style>
  <w:style w:type="paragraph" w:styleId="BodyTextIndent">
    <w:name w:val="Body Text Indent"/>
    <w:basedOn w:val="Normal"/>
    <w:link w:val="BodyTextIndentChar"/>
    <w:uiPriority w:val="99"/>
    <w:rsid w:val="000D4D7D"/>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lang w:eastAsia="en-US"/>
    </w:rPr>
  </w:style>
  <w:style w:type="table" w:styleId="TableGrid">
    <w:name w:val="Table Grid"/>
    <w:basedOn w:val="TableNormal"/>
    <w:uiPriority w:val="99"/>
    <w:rsid w:val="000D4D7D"/>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D4D7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paragraph" w:customStyle="1" w:styleId="CharChar1">
    <w:name w:val="Char Char1"/>
    <w:basedOn w:val="Normal"/>
    <w:uiPriority w:val="99"/>
    <w:rsid w:val="00A94D0C"/>
    <w:pPr>
      <w:overflowPunct/>
      <w:autoSpaceDE/>
      <w:autoSpaceDN/>
      <w:adjustRightInd/>
      <w:spacing w:after="160" w:line="240" w:lineRule="exact"/>
      <w:textAlignment w:val="auto"/>
    </w:pPr>
    <w:rPr>
      <w:rFonts w:ascii="Tahoma" w:hAnsi="Tahoma"/>
      <w:sz w:val="20"/>
      <w:lang w:val="en-US"/>
    </w:rPr>
  </w:style>
  <w:style w:type="paragraph" w:styleId="BodyText3">
    <w:name w:val="Body Text 3"/>
    <w:basedOn w:val="Normal"/>
    <w:link w:val="BodyText3Char"/>
    <w:uiPriority w:val="99"/>
    <w:rsid w:val="007E5E45"/>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ListParagraph">
    <w:name w:val="List Paragraph"/>
    <w:basedOn w:val="Normal"/>
    <w:uiPriority w:val="99"/>
    <w:qFormat/>
    <w:rsid w:val="007E5E45"/>
    <w:pPr>
      <w:overflowPunct/>
      <w:autoSpaceDE/>
      <w:autoSpaceDN/>
      <w:adjustRightInd/>
      <w:ind w:left="1296"/>
      <w:textAlignment w:val="auto"/>
    </w:pPr>
    <w:rPr>
      <w:rFonts w:eastAsia="SimSun"/>
      <w:szCs w:val="24"/>
      <w:lang w:val="en-US" w:eastAsia="zh-CN"/>
    </w:rPr>
  </w:style>
  <w:style w:type="paragraph" w:customStyle="1" w:styleId="CharChar11">
    <w:name w:val="Char Char11"/>
    <w:basedOn w:val="Normal"/>
    <w:uiPriority w:val="99"/>
    <w:rsid w:val="007E5E45"/>
    <w:pPr>
      <w:overflowPunct/>
      <w:autoSpaceDE/>
      <w:autoSpaceDN/>
      <w:adjustRightInd/>
      <w:spacing w:after="160" w:line="240" w:lineRule="exact"/>
      <w:textAlignment w:val="auto"/>
    </w:pPr>
    <w:rPr>
      <w:rFonts w:ascii="Tahoma" w:hAnsi="Tahoma"/>
      <w:sz w:val="20"/>
      <w:lang w:val="en-US"/>
    </w:rPr>
  </w:style>
  <w:style w:type="paragraph" w:customStyle="1" w:styleId="Char1CharChar1">
    <w:name w:val="Char1 Char Char1"/>
    <w:basedOn w:val="Normal"/>
    <w:uiPriority w:val="99"/>
    <w:rsid w:val="00584962"/>
    <w:pPr>
      <w:overflowPunct/>
      <w:autoSpaceDE/>
      <w:autoSpaceDN/>
      <w:adjustRightInd/>
      <w:spacing w:after="160" w:line="240" w:lineRule="exact"/>
      <w:textAlignment w:val="auto"/>
    </w:pPr>
    <w:rPr>
      <w:rFonts w:ascii="Verdana" w:hAnsi="Verdana" w:cs="Verdana"/>
      <w:sz w:val="20"/>
      <w:lang w:val="en-US"/>
    </w:rPr>
  </w:style>
</w:styles>
</file>

<file path=word/webSettings.xml><?xml version="1.0" encoding="utf-8"?>
<w:webSettings xmlns:r="http://schemas.openxmlformats.org/officeDocument/2006/relationships" xmlns:w="http://schemas.openxmlformats.org/wordprocessingml/2006/main">
  <w:divs>
    <w:div w:id="105664193">
      <w:marLeft w:val="0"/>
      <w:marRight w:val="0"/>
      <w:marTop w:val="0"/>
      <w:marBottom w:val="0"/>
      <w:divBdr>
        <w:top w:val="none" w:sz="0" w:space="0" w:color="auto"/>
        <w:left w:val="none" w:sz="0" w:space="0" w:color="auto"/>
        <w:bottom w:val="none" w:sz="0" w:space="0" w:color="auto"/>
        <w:right w:val="none" w:sz="0" w:space="0" w:color="auto"/>
      </w:divBdr>
    </w:div>
    <w:div w:id="105664194">
      <w:marLeft w:val="0"/>
      <w:marRight w:val="0"/>
      <w:marTop w:val="0"/>
      <w:marBottom w:val="0"/>
      <w:divBdr>
        <w:top w:val="none" w:sz="0" w:space="0" w:color="auto"/>
        <w:left w:val="none" w:sz="0" w:space="0" w:color="auto"/>
        <w:bottom w:val="none" w:sz="0" w:space="0" w:color="auto"/>
        <w:right w:val="none" w:sz="0" w:space="0" w:color="auto"/>
      </w:divBdr>
    </w:div>
    <w:div w:id="105664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2</Pages>
  <Words>1496</Words>
  <Characters>854</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41</cp:revision>
  <cp:lastPrinted>2017-04-06T05:38:00Z</cp:lastPrinted>
  <dcterms:created xsi:type="dcterms:W3CDTF">2015-04-29T04:07:00Z</dcterms:created>
  <dcterms:modified xsi:type="dcterms:W3CDTF">2017-04-27T12:16:00Z</dcterms:modified>
</cp:coreProperties>
</file>