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BE" w:rsidRDefault="004B21BE" w:rsidP="00B24348">
      <w:pPr>
        <w:jc w:val="right"/>
        <w:rPr>
          <w:b/>
          <w:bCs/>
        </w:rPr>
      </w:pPr>
    </w:p>
    <w:tbl>
      <w:tblPr>
        <w:tblW w:w="0" w:type="auto"/>
        <w:tblInd w:w="2" w:type="dxa"/>
        <w:tblLayout w:type="fixed"/>
        <w:tblLook w:val="0000"/>
      </w:tblPr>
      <w:tblGrid>
        <w:gridCol w:w="9639"/>
      </w:tblGrid>
      <w:tr w:rsidR="004B21BE">
        <w:trPr>
          <w:trHeight w:val="1055"/>
        </w:trPr>
        <w:tc>
          <w:tcPr>
            <w:tcW w:w="9639" w:type="dxa"/>
          </w:tcPr>
          <w:p w:rsidR="004B21BE" w:rsidRDefault="004B21BE">
            <w:pPr>
              <w:spacing w:line="240" w:lineRule="atLeast"/>
              <w:jc w:val="center"/>
              <w:rPr>
                <w:noProof/>
              </w:rPr>
            </w:pPr>
            <w:r w:rsidRPr="00A3567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4B21BE">
        <w:trPr>
          <w:trHeight w:val="1896"/>
        </w:trPr>
        <w:tc>
          <w:tcPr>
            <w:tcW w:w="9639" w:type="dxa"/>
          </w:tcPr>
          <w:p w:rsidR="004B21BE" w:rsidRDefault="004B21BE">
            <w:pPr>
              <w:pStyle w:val="Heading2"/>
              <w:rPr>
                <w:noProof/>
                <w:color w:val="auto"/>
              </w:rPr>
            </w:pPr>
            <w:r>
              <w:rPr>
                <w:noProof/>
                <w:color w:val="auto"/>
              </w:rPr>
              <w:t>Pagėgių savivaldybės taryba</w:t>
            </w:r>
          </w:p>
          <w:p w:rsidR="004B21BE" w:rsidRDefault="004B21BE"/>
          <w:p w:rsidR="004B21BE" w:rsidRDefault="004B21BE">
            <w:pPr>
              <w:spacing w:before="120"/>
              <w:jc w:val="center"/>
              <w:rPr>
                <w:b/>
                <w:bCs/>
                <w:caps/>
                <w:noProof/>
              </w:rPr>
            </w:pPr>
            <w:r>
              <w:rPr>
                <w:b/>
                <w:bCs/>
                <w:caps/>
                <w:noProof/>
              </w:rPr>
              <w:t>sprendimas</w:t>
            </w:r>
          </w:p>
          <w:p w:rsidR="004B21BE" w:rsidRDefault="004B21BE">
            <w:pPr>
              <w:spacing w:before="120"/>
              <w:jc w:val="center"/>
              <w:rPr>
                <w:b/>
                <w:bCs/>
                <w:caps/>
                <w:noProof/>
              </w:rPr>
            </w:pPr>
            <w:r w:rsidRPr="009C1564">
              <w:rPr>
                <w:b/>
                <w:bCs/>
                <w:color w:val="000000"/>
              </w:rPr>
              <w:t xml:space="preserve">DĖL PRITARIMO </w:t>
            </w:r>
            <w:r>
              <w:rPr>
                <w:b/>
                <w:bCs/>
                <w:color w:val="000000"/>
              </w:rPr>
              <w:t xml:space="preserve">UŽDAROSIOS AKCINĖS BENDROVĖS ,,PAGĖGIŲ KOMUNALINIS ŪKIS“ VADOVO 2016 METŲ </w:t>
            </w:r>
            <w:r w:rsidRPr="009C1564">
              <w:rPr>
                <w:b/>
                <w:bCs/>
                <w:color w:val="000000"/>
              </w:rPr>
              <w:t>VEIKLOS ATASKAITAI</w:t>
            </w:r>
          </w:p>
        </w:tc>
      </w:tr>
      <w:tr w:rsidR="004B21BE">
        <w:trPr>
          <w:trHeight w:val="902"/>
        </w:trPr>
        <w:tc>
          <w:tcPr>
            <w:tcW w:w="9639" w:type="dxa"/>
          </w:tcPr>
          <w:p w:rsidR="004B21BE" w:rsidRDefault="004B21BE">
            <w:pPr>
              <w:pStyle w:val="Heading2"/>
              <w:rPr>
                <w:b w:val="0"/>
                <w:bCs w:val="0"/>
                <w:caps w:val="0"/>
                <w:noProof/>
                <w:color w:val="auto"/>
              </w:rPr>
            </w:pPr>
            <w:r>
              <w:rPr>
                <w:b w:val="0"/>
                <w:bCs w:val="0"/>
                <w:caps w:val="0"/>
                <w:noProof/>
                <w:color w:val="auto"/>
              </w:rPr>
              <w:t>2017 m. gegužės 18 d. Nr.  T-84</w:t>
            </w:r>
          </w:p>
          <w:p w:rsidR="004B21BE" w:rsidRDefault="004B21BE">
            <w:pPr>
              <w:jc w:val="center"/>
              <w:rPr>
                <w:noProof/>
              </w:rPr>
            </w:pPr>
            <w:r>
              <w:rPr>
                <w:noProof/>
              </w:rPr>
              <w:t>Pagėgiai</w:t>
            </w:r>
          </w:p>
        </w:tc>
      </w:tr>
    </w:tbl>
    <w:p w:rsidR="004B21BE" w:rsidRDefault="004B21BE" w:rsidP="00B24348">
      <w:pPr>
        <w:overflowPunct/>
        <w:autoSpaceDE/>
        <w:adjustRightInd/>
        <w:ind w:firstLine="720"/>
        <w:jc w:val="both"/>
        <w:rPr>
          <w:color w:val="000000"/>
        </w:rPr>
      </w:pPr>
    </w:p>
    <w:p w:rsidR="004B21BE" w:rsidRDefault="004B21BE" w:rsidP="007A6D7F">
      <w:pPr>
        <w:spacing w:line="360" w:lineRule="auto"/>
        <w:ind w:firstLine="720"/>
        <w:jc w:val="both"/>
      </w:pPr>
      <w:r>
        <w:t xml:space="preserve"> Vadovaudamasi Lietuvos Respublikos vietos savivaldos įstatymo 16 straipsnio 2 dalies 19 punktu</w:t>
      </w:r>
      <w:r>
        <w:rPr>
          <w:color w:val="000000"/>
        </w:rPr>
        <w:t xml:space="preserve">, </w:t>
      </w:r>
      <w:r>
        <w:t xml:space="preserve">Savivaldybės tarybos veiklos reglamento, patvirtinto Pagėgių savivaldybės tarybos 2015 m. balandžio 2 d. sprendimu Nr. T-66 ,,Dėl Pagėgių savivaldybės tarybos veiklos reglamento patvirtinimo“, 263 punktu, </w:t>
      </w:r>
      <w:r>
        <w:rPr>
          <w:color w:val="000000"/>
        </w:rPr>
        <w:t xml:space="preserve">Pagėgių savivaldybės taryba  </w:t>
      </w:r>
      <w:r>
        <w:rPr>
          <w:color w:val="000000"/>
          <w:spacing w:val="60"/>
        </w:rPr>
        <w:t>nusprendži</w:t>
      </w:r>
      <w:r>
        <w:rPr>
          <w:color w:val="000000"/>
        </w:rPr>
        <w:t>a:</w:t>
      </w:r>
    </w:p>
    <w:p w:rsidR="004B21BE" w:rsidRDefault="004B21BE" w:rsidP="007A6D7F">
      <w:pPr>
        <w:spacing w:line="360" w:lineRule="auto"/>
        <w:ind w:firstLine="720"/>
        <w:jc w:val="both"/>
        <w:rPr>
          <w:color w:val="000000"/>
        </w:rPr>
      </w:pPr>
      <w:r>
        <w:rPr>
          <w:color w:val="000000"/>
        </w:rPr>
        <w:t>1. Pritarti uždarosios akcinės bendrovės ,,Pagėgių komunalinis ūkis“ vadovo 2016 m. veiklos ataskaitai (pridedama).</w:t>
      </w:r>
    </w:p>
    <w:p w:rsidR="004B21BE" w:rsidRDefault="004B21BE" w:rsidP="007A6D7F">
      <w:pPr>
        <w:tabs>
          <w:tab w:val="left" w:pos="1296"/>
          <w:tab w:val="center" w:pos="4320"/>
          <w:tab w:val="right" w:pos="8640"/>
        </w:tabs>
        <w:overflowPunct/>
        <w:autoSpaceDE/>
        <w:adjustRightInd/>
        <w:spacing w:line="360" w:lineRule="auto"/>
        <w:ind w:right="-3" w:firstLine="709"/>
        <w:jc w:val="both"/>
      </w:pPr>
      <w:r>
        <w:t xml:space="preserve">2. Sprendimą paskelbti Pagėgių savivaldybės interneto svetainėje </w:t>
      </w:r>
      <w:hyperlink r:id="rId6" w:history="1">
        <w:r w:rsidRPr="00291472">
          <w:rPr>
            <w:rStyle w:val="Hyperlink"/>
            <w:color w:val="auto"/>
            <w:u w:val="none"/>
          </w:rPr>
          <w:t>www.pagegiai.lt</w:t>
        </w:r>
      </w:hyperlink>
      <w:r w:rsidRPr="00291472">
        <w:t>.</w:t>
      </w:r>
    </w:p>
    <w:p w:rsidR="004B21BE" w:rsidRDefault="004B21BE" w:rsidP="007A6D7F">
      <w:pPr>
        <w:spacing w:line="360" w:lineRule="auto"/>
        <w:ind w:firstLine="540"/>
        <w:jc w:val="both"/>
        <w:outlineLvl w:val="0"/>
      </w:pPr>
      <w:r>
        <w:t xml:space="preserve">   Šis sprendimas gali būti skundžiamas Lietuvos Respublikos administracinių bylų teisenos įstatymo nustatyta tvarka.</w:t>
      </w:r>
    </w:p>
    <w:p w:rsidR="004B21BE" w:rsidRDefault="004B21BE" w:rsidP="0036589E">
      <w:pPr>
        <w:spacing w:line="360" w:lineRule="auto"/>
        <w:jc w:val="both"/>
      </w:pPr>
    </w:p>
    <w:p w:rsidR="004B21BE" w:rsidRDefault="004B21BE" w:rsidP="0036589E">
      <w:pPr>
        <w:spacing w:line="360" w:lineRule="auto"/>
        <w:jc w:val="both"/>
      </w:pPr>
    </w:p>
    <w:p w:rsidR="004B21BE" w:rsidRDefault="004B21BE" w:rsidP="0036589E">
      <w:pPr>
        <w:jc w:val="both"/>
      </w:pPr>
    </w:p>
    <w:p w:rsidR="004B21BE" w:rsidRDefault="004B21BE" w:rsidP="0036589E">
      <w:pPr>
        <w:jc w:val="both"/>
      </w:pPr>
      <w:r>
        <w:t>Savivaldybės meras</w:t>
      </w:r>
      <w:r>
        <w:tab/>
      </w:r>
      <w:r>
        <w:tab/>
      </w:r>
      <w:r>
        <w:tab/>
        <w:t xml:space="preserve">                                       Virginijus Komskis</w:t>
      </w: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pPr>
    </w:p>
    <w:p w:rsidR="004B21BE" w:rsidRDefault="004B21BE" w:rsidP="0036589E">
      <w:pPr>
        <w:jc w:val="both"/>
        <w:rPr>
          <w:lang w:val="pt-BR"/>
        </w:rPr>
      </w:pPr>
    </w:p>
    <w:p w:rsidR="004B21BE" w:rsidRPr="0027319C" w:rsidRDefault="004B21BE" w:rsidP="00853CEA">
      <w:pPr>
        <w:ind w:left="3888" w:firstLine="1296"/>
      </w:pPr>
      <w:r>
        <w:t>PRITARTA</w:t>
      </w:r>
    </w:p>
    <w:p w:rsidR="004B21BE" w:rsidRPr="0027319C" w:rsidRDefault="004B21BE" w:rsidP="00853CEA">
      <w:pPr>
        <w:rPr>
          <w:lang w:val="en-GB" w:eastAsia="sv-SE"/>
        </w:rPr>
      </w:pPr>
      <w:r w:rsidRPr="0027319C">
        <w:rPr>
          <w:lang w:eastAsia="sv-SE"/>
        </w:rPr>
        <w:t xml:space="preserve">                                                       </w:t>
      </w:r>
      <w:r>
        <w:rPr>
          <w:lang w:eastAsia="sv-SE"/>
        </w:rPr>
        <w:t xml:space="preserve">                               </w:t>
      </w:r>
      <w:r w:rsidRPr="0027319C">
        <w:rPr>
          <w:lang w:eastAsia="sv-SE"/>
        </w:rPr>
        <w:t>Pagėgių savivaldybės tarybos</w:t>
      </w:r>
    </w:p>
    <w:p w:rsidR="004B21BE" w:rsidRDefault="004B21BE" w:rsidP="00853CEA">
      <w:pPr>
        <w:ind w:right="-334"/>
        <w:rPr>
          <w:lang w:eastAsia="sv-SE"/>
        </w:rPr>
      </w:pPr>
      <w:r w:rsidRPr="0027319C">
        <w:rPr>
          <w:lang w:eastAsia="sv-SE"/>
        </w:rPr>
        <w:t xml:space="preserve">                                                                                    </w:t>
      </w:r>
      <w:r>
        <w:rPr>
          <w:lang w:eastAsia="sv-SE"/>
        </w:rPr>
        <w:t xml:space="preserve">  </w:t>
      </w:r>
      <w:r w:rsidRPr="0027319C">
        <w:rPr>
          <w:lang w:eastAsia="sv-SE"/>
        </w:rPr>
        <w:t>201</w:t>
      </w:r>
      <w:r w:rsidRPr="0027319C">
        <w:rPr>
          <w:lang w:val="en-US" w:eastAsia="sv-SE"/>
        </w:rPr>
        <w:t>7</w:t>
      </w:r>
      <w:r w:rsidRPr="0027319C">
        <w:rPr>
          <w:lang w:eastAsia="sv-SE"/>
        </w:rPr>
        <w:t xml:space="preserve"> m. </w:t>
      </w:r>
      <w:r>
        <w:rPr>
          <w:lang w:eastAsia="sv-SE"/>
        </w:rPr>
        <w:t>gegužės 18</w:t>
      </w:r>
      <w:r w:rsidRPr="0027319C">
        <w:rPr>
          <w:lang w:eastAsia="sv-SE"/>
        </w:rPr>
        <w:t xml:space="preserve"> d. </w:t>
      </w:r>
    </w:p>
    <w:p w:rsidR="004B21BE" w:rsidRPr="0027319C" w:rsidRDefault="004B21BE" w:rsidP="002A040D">
      <w:pPr>
        <w:ind w:left="3888" w:right="-334" w:firstLine="1296"/>
      </w:pPr>
      <w:r w:rsidRPr="0027319C">
        <w:rPr>
          <w:lang w:eastAsia="sv-SE"/>
        </w:rPr>
        <w:t>sprendimu Nr. T-</w:t>
      </w:r>
      <w:r>
        <w:rPr>
          <w:lang w:eastAsia="sv-SE"/>
        </w:rPr>
        <w:t>84</w:t>
      </w:r>
    </w:p>
    <w:p w:rsidR="004B21BE" w:rsidRDefault="004B21BE" w:rsidP="00853CEA">
      <w:pPr>
        <w:tabs>
          <w:tab w:val="left" w:pos="2400"/>
        </w:tabs>
        <w:spacing w:line="360" w:lineRule="auto"/>
        <w:ind w:right="-154"/>
        <w:jc w:val="center"/>
        <w:rPr>
          <w:b/>
          <w:bCs/>
          <w:color w:val="000000"/>
          <w:u w:val="single"/>
        </w:rPr>
      </w:pPr>
    </w:p>
    <w:p w:rsidR="004B21BE" w:rsidRPr="000B01DB" w:rsidRDefault="004B21BE" w:rsidP="00853CEA">
      <w:pPr>
        <w:tabs>
          <w:tab w:val="left" w:pos="2400"/>
        </w:tabs>
        <w:spacing w:line="360" w:lineRule="auto"/>
        <w:jc w:val="center"/>
        <w:rPr>
          <w:b/>
          <w:bCs/>
          <w:color w:val="000000"/>
          <w:sz w:val="28"/>
          <w:szCs w:val="28"/>
          <w:u w:val="single"/>
        </w:rPr>
      </w:pPr>
      <w:r w:rsidRPr="00A3567A">
        <w:rPr>
          <w:b/>
          <w:bCs/>
          <w:color w:val="000000"/>
          <w:sz w:val="28"/>
          <w:szCs w:val="28"/>
        </w:rPr>
        <w:pict>
          <v:shape id="_x0000_i1026" type="#_x0000_t75" style="width:34.5pt;height:34.5pt" fillcolor="window">
            <v:imagedata r:id="rId7" o:title=""/>
          </v:shape>
        </w:pict>
      </w:r>
      <w:r w:rsidRPr="000B01DB">
        <w:rPr>
          <w:b/>
          <w:bCs/>
          <w:color w:val="000000"/>
          <w:sz w:val="28"/>
          <w:szCs w:val="28"/>
          <w:u w:val="single"/>
        </w:rPr>
        <w:t xml:space="preserve"> </w:t>
      </w:r>
    </w:p>
    <w:p w:rsidR="004B21BE" w:rsidRPr="0051403E" w:rsidRDefault="004B21BE" w:rsidP="00853CEA">
      <w:pPr>
        <w:tabs>
          <w:tab w:val="left" w:pos="2400"/>
        </w:tabs>
        <w:spacing w:line="360" w:lineRule="auto"/>
        <w:jc w:val="center"/>
        <w:rPr>
          <w:b/>
          <w:bCs/>
          <w:color w:val="000000"/>
          <w:u w:val="single"/>
        </w:rPr>
      </w:pPr>
    </w:p>
    <w:p w:rsidR="004B21BE" w:rsidRPr="000B01DB" w:rsidRDefault="004B21BE" w:rsidP="00853CEA">
      <w:pPr>
        <w:tabs>
          <w:tab w:val="left" w:pos="2400"/>
        </w:tabs>
        <w:spacing w:line="360" w:lineRule="auto"/>
        <w:jc w:val="center"/>
        <w:rPr>
          <w:color w:val="000000"/>
          <w:sz w:val="32"/>
          <w:szCs w:val="32"/>
        </w:rPr>
      </w:pPr>
      <w:r w:rsidRPr="000B01DB">
        <w:rPr>
          <w:color w:val="000000"/>
          <w:sz w:val="32"/>
          <w:szCs w:val="32"/>
        </w:rPr>
        <w:t xml:space="preserve">UAB ,,PAGĖGIŲ KOMUNALINIS ŪKIS’’ </w:t>
      </w:r>
    </w:p>
    <w:p w:rsidR="004B21BE" w:rsidRDefault="004B21BE" w:rsidP="00853CEA">
      <w:pPr>
        <w:tabs>
          <w:tab w:val="left" w:pos="2400"/>
        </w:tabs>
        <w:spacing w:line="360" w:lineRule="auto"/>
        <w:jc w:val="center"/>
        <w:rPr>
          <w:b/>
          <w:bCs/>
          <w:sz w:val="28"/>
          <w:szCs w:val="28"/>
        </w:rPr>
      </w:pPr>
      <w:r>
        <w:rPr>
          <w:b/>
          <w:bCs/>
          <w:sz w:val="32"/>
          <w:szCs w:val="32"/>
        </w:rPr>
        <w:t>2016</w:t>
      </w:r>
      <w:r w:rsidRPr="000B01DB">
        <w:rPr>
          <w:b/>
          <w:bCs/>
          <w:sz w:val="32"/>
          <w:szCs w:val="32"/>
        </w:rPr>
        <w:t xml:space="preserve"> </w:t>
      </w:r>
      <w:r>
        <w:rPr>
          <w:b/>
          <w:bCs/>
          <w:sz w:val="32"/>
          <w:szCs w:val="32"/>
        </w:rPr>
        <w:t>metų vadovo veiklos ataskaita</w:t>
      </w:r>
    </w:p>
    <w:p w:rsidR="004B21BE" w:rsidRDefault="004B21BE" w:rsidP="00853CEA">
      <w:pPr>
        <w:tabs>
          <w:tab w:val="left" w:pos="2400"/>
        </w:tabs>
        <w:spacing w:line="360" w:lineRule="auto"/>
        <w:jc w:val="center"/>
        <w:rPr>
          <w:b/>
          <w:bCs/>
          <w:sz w:val="28"/>
          <w:szCs w:val="28"/>
        </w:rPr>
      </w:pPr>
    </w:p>
    <w:p w:rsidR="004B21BE" w:rsidRDefault="004B21BE" w:rsidP="00853CEA">
      <w:pPr>
        <w:tabs>
          <w:tab w:val="left" w:pos="2400"/>
        </w:tabs>
        <w:spacing w:line="360" w:lineRule="auto"/>
        <w:jc w:val="center"/>
        <w:rPr>
          <w:b/>
          <w:bCs/>
          <w:sz w:val="28"/>
          <w:szCs w:val="28"/>
        </w:rPr>
      </w:pPr>
    </w:p>
    <w:p w:rsidR="004B21BE" w:rsidRDefault="004B21BE" w:rsidP="00853CEA">
      <w:pPr>
        <w:tabs>
          <w:tab w:val="left" w:pos="2400"/>
        </w:tabs>
        <w:spacing w:line="360" w:lineRule="auto"/>
        <w:jc w:val="center"/>
        <w:rPr>
          <w:b/>
          <w:bCs/>
          <w:sz w:val="28"/>
          <w:szCs w:val="28"/>
        </w:rPr>
      </w:pPr>
    </w:p>
    <w:p w:rsidR="004B21BE" w:rsidRDefault="004B21BE" w:rsidP="00853CEA">
      <w:pPr>
        <w:tabs>
          <w:tab w:val="left" w:pos="2400"/>
        </w:tabs>
        <w:spacing w:line="360" w:lineRule="auto"/>
        <w:jc w:val="center"/>
        <w:rPr>
          <w:b/>
          <w:bCs/>
          <w:sz w:val="28"/>
          <w:szCs w:val="28"/>
        </w:rPr>
      </w:pPr>
    </w:p>
    <w:p w:rsidR="004B21BE" w:rsidRDefault="004B21BE" w:rsidP="00853CEA">
      <w:pPr>
        <w:tabs>
          <w:tab w:val="left" w:pos="2400"/>
        </w:tabs>
        <w:spacing w:line="360" w:lineRule="auto"/>
        <w:jc w:val="center"/>
        <w:rPr>
          <w:b/>
          <w:bCs/>
          <w:sz w:val="28"/>
          <w:szCs w:val="28"/>
        </w:rPr>
      </w:pPr>
    </w:p>
    <w:p w:rsidR="004B21BE" w:rsidRDefault="004B21BE" w:rsidP="00853CEA">
      <w:pPr>
        <w:tabs>
          <w:tab w:val="left" w:pos="2400"/>
        </w:tabs>
        <w:spacing w:line="360" w:lineRule="auto"/>
        <w:jc w:val="center"/>
        <w:rPr>
          <w:b/>
          <w:bCs/>
          <w:sz w:val="28"/>
          <w:szCs w:val="28"/>
        </w:rPr>
      </w:pPr>
    </w:p>
    <w:p w:rsidR="004B21BE" w:rsidRPr="000B01DB" w:rsidRDefault="004B21BE" w:rsidP="00853CEA">
      <w:pPr>
        <w:tabs>
          <w:tab w:val="left" w:pos="2400"/>
        </w:tabs>
        <w:spacing w:line="360" w:lineRule="auto"/>
        <w:jc w:val="center"/>
      </w:pPr>
      <w:r w:rsidRPr="000B01DB">
        <w:t>Adresas: Vilniaus g. 12, 99292 Pagėgiai, Lietuva</w:t>
      </w:r>
    </w:p>
    <w:p w:rsidR="004B21BE" w:rsidRPr="000B01DB" w:rsidRDefault="004B21BE" w:rsidP="00853CEA">
      <w:pPr>
        <w:tabs>
          <w:tab w:val="left" w:pos="2400"/>
        </w:tabs>
        <w:spacing w:line="360" w:lineRule="auto"/>
        <w:jc w:val="center"/>
      </w:pPr>
      <w:r w:rsidRPr="000B01DB">
        <w:t>Įmonės kodas 177390158</w:t>
      </w:r>
    </w:p>
    <w:p w:rsidR="004B21BE" w:rsidRPr="000B01DB" w:rsidRDefault="004B21BE" w:rsidP="00853CEA">
      <w:pPr>
        <w:tabs>
          <w:tab w:val="left" w:pos="2400"/>
        </w:tabs>
        <w:spacing w:line="360" w:lineRule="auto"/>
        <w:jc w:val="center"/>
        <w:rPr>
          <w:color w:val="000000"/>
        </w:rPr>
      </w:pPr>
      <w:r w:rsidRPr="000B01DB">
        <w:t xml:space="preserve">Telefonai: </w:t>
      </w:r>
      <w:r w:rsidRPr="000B01DB">
        <w:rPr>
          <w:color w:val="000000"/>
        </w:rPr>
        <w:t>(8-441)57260, faksas: (8-441) 55770</w:t>
      </w:r>
    </w:p>
    <w:p w:rsidR="004B21BE" w:rsidRPr="000B01DB" w:rsidRDefault="004B21BE" w:rsidP="00853CEA">
      <w:pPr>
        <w:tabs>
          <w:tab w:val="left" w:pos="2400"/>
        </w:tabs>
        <w:spacing w:line="360" w:lineRule="auto"/>
        <w:jc w:val="center"/>
      </w:pPr>
      <w:r w:rsidRPr="000B01DB">
        <w:t xml:space="preserve">Elektroninis paštas: </w:t>
      </w:r>
      <w:hyperlink r:id="rId8" w:history="1">
        <w:r w:rsidRPr="000B01DB">
          <w:rPr>
            <w:b/>
            <w:bCs/>
            <w:color w:val="0000FF"/>
            <w:u w:val="single"/>
          </w:rPr>
          <w:t>komunalinis@pagegiai.lt</w:t>
        </w:r>
      </w:hyperlink>
    </w:p>
    <w:p w:rsidR="004B21BE" w:rsidRPr="000B01DB" w:rsidRDefault="004B21BE" w:rsidP="00853CEA">
      <w:pPr>
        <w:spacing w:line="360" w:lineRule="auto"/>
        <w:jc w:val="center"/>
      </w:pPr>
      <w:r w:rsidRPr="000B01DB">
        <w:t>Internetinis puslapis: http://www.pagegiuku.lt/</w:t>
      </w:r>
    </w:p>
    <w:p w:rsidR="004B21BE" w:rsidRPr="000B01DB" w:rsidRDefault="004B21BE" w:rsidP="00853CEA">
      <w:pPr>
        <w:tabs>
          <w:tab w:val="left" w:pos="2400"/>
        </w:tabs>
        <w:spacing w:line="360" w:lineRule="auto"/>
        <w:jc w:val="center"/>
      </w:pPr>
      <w:r w:rsidRPr="000B01DB">
        <w:t>Direktorius: Saugintas Vaičiūnas</w:t>
      </w:r>
    </w:p>
    <w:p w:rsidR="004B21BE" w:rsidRPr="000B01DB" w:rsidRDefault="004B21BE" w:rsidP="00853CEA">
      <w:pPr>
        <w:tabs>
          <w:tab w:val="left" w:pos="2400"/>
        </w:tabs>
        <w:spacing w:line="360" w:lineRule="auto"/>
        <w:jc w:val="center"/>
      </w:pPr>
      <w:r>
        <w:t>Pagėgiai 2017</w:t>
      </w:r>
    </w:p>
    <w:p w:rsidR="004B21BE" w:rsidRDefault="004B21BE" w:rsidP="00853CEA">
      <w:pPr>
        <w:numPr>
          <w:ilvl w:val="0"/>
          <w:numId w:val="4"/>
        </w:numPr>
        <w:tabs>
          <w:tab w:val="num" w:pos="1260"/>
          <w:tab w:val="left" w:pos="2400"/>
        </w:tabs>
        <w:overflowPunct/>
        <w:autoSpaceDE/>
        <w:autoSpaceDN/>
        <w:adjustRightInd/>
        <w:spacing w:after="100" w:afterAutospacing="1" w:line="360" w:lineRule="auto"/>
        <w:ind w:left="0" w:firstLine="902"/>
        <w:jc w:val="both"/>
        <w:rPr>
          <w:b/>
          <w:bCs/>
        </w:rPr>
      </w:pPr>
      <w:r>
        <w:rPr>
          <w:b/>
          <w:bCs/>
        </w:rPr>
        <w:br w:type="page"/>
        <w:t>UAB „Pagėgių komunalinis ūkis“ pristatymas, struktūra, pareigybės, teikiamos paslaugos.</w:t>
      </w:r>
    </w:p>
    <w:p w:rsidR="004B21BE" w:rsidRDefault="004B21BE" w:rsidP="00853CEA">
      <w:pPr>
        <w:tabs>
          <w:tab w:val="num" w:pos="1260"/>
          <w:tab w:val="left" w:pos="2400"/>
        </w:tabs>
        <w:spacing w:line="360" w:lineRule="auto"/>
        <w:ind w:firstLine="900"/>
        <w:jc w:val="both"/>
      </w:pPr>
      <w:r w:rsidRPr="0051403E">
        <w:t>Uždaroji akcinė bendrovė “Pagėgių komunalinis ūkis” (Bendrovė) savo veiklą pradėjo 1999 m</w:t>
      </w:r>
      <w:r>
        <w:t>etais</w:t>
      </w:r>
      <w:r w:rsidRPr="0051403E">
        <w:t xml:space="preserve"> lapkričio 15 d. Pagrindinės veiklos sritys: vandens </w:t>
      </w:r>
      <w:r>
        <w:t xml:space="preserve">surinkimas, valymas ir </w:t>
      </w:r>
      <w:r w:rsidRPr="0051403E">
        <w:t>tiekimas, nuotekų šalinimas ir valymas, centralizuotas šilumos tiekimas, turgaus priežiūra. Bendrovė savo veikloje vadovaujasi bendrovės įstat</w:t>
      </w:r>
      <w:r>
        <w:t>ais, Lietuvos Respublikos kodeksu, Lietuvos Respublikos akcinių bendrovių įstatymu ir kitais Lietuvos Respublikos aktais.</w:t>
      </w:r>
    </w:p>
    <w:p w:rsidR="004B21BE" w:rsidRPr="00175FE5" w:rsidRDefault="004B21BE" w:rsidP="00853CEA">
      <w:pPr>
        <w:spacing w:line="360" w:lineRule="auto"/>
        <w:ind w:firstLine="900"/>
        <w:jc w:val="both"/>
      </w:pPr>
      <w:r w:rsidRPr="00175FE5">
        <w:t>Akcinis kapitalas yra padalintas į 18364 paprastąsias vardines 25 Eur nominalios vertės akcijas. Pagrindinis ir vienintelis akcininkas, valdantis 100 procentų akcijų – Pagėgių savivaldybės taryba. UAB “Pagėgių komunalinis ūkis” turi dukterinę įmonę, įkurta 2006 m</w:t>
      </w:r>
      <w:r>
        <w:t xml:space="preserve">etais  </w:t>
      </w:r>
      <w:r w:rsidRPr="00175FE5">
        <w:t xml:space="preserve">kovo 16 d. – UAB „ Pagėgių savivaldybės komunalinis ūkis“, kuri </w:t>
      </w:r>
      <w:r w:rsidRPr="00175FE5">
        <w:rPr>
          <w:color w:val="000000"/>
        </w:rPr>
        <w:t>turi 18,5</w:t>
      </w:r>
      <w:r w:rsidRPr="00175FE5">
        <w:t xml:space="preserve"> % akcijų.</w:t>
      </w:r>
    </w:p>
    <w:p w:rsidR="004B21BE" w:rsidRPr="00175FE5" w:rsidRDefault="004B21BE" w:rsidP="00853CEA">
      <w:pPr>
        <w:tabs>
          <w:tab w:val="num" w:pos="1260"/>
          <w:tab w:val="left" w:pos="2400"/>
        </w:tabs>
        <w:spacing w:line="360" w:lineRule="auto"/>
        <w:ind w:firstLine="902"/>
        <w:jc w:val="both"/>
      </w:pPr>
      <w:r w:rsidRPr="00175FE5">
        <w:t xml:space="preserve">Bendrovės valdymo organai: </w:t>
      </w:r>
    </w:p>
    <w:p w:rsidR="004B21BE" w:rsidRPr="00175FE5" w:rsidRDefault="004B21BE" w:rsidP="00853CEA">
      <w:pPr>
        <w:tabs>
          <w:tab w:val="num" w:pos="1260"/>
          <w:tab w:val="left" w:pos="2400"/>
        </w:tabs>
        <w:spacing w:line="360" w:lineRule="auto"/>
        <w:ind w:firstLine="902"/>
        <w:jc w:val="both"/>
      </w:pPr>
      <w:r w:rsidRPr="00175FE5">
        <w:t>- visuotinis akcininkų susirinkimas;</w:t>
      </w:r>
    </w:p>
    <w:p w:rsidR="004B21BE" w:rsidRPr="00175FE5" w:rsidRDefault="004B21BE" w:rsidP="00853CEA">
      <w:pPr>
        <w:tabs>
          <w:tab w:val="num" w:pos="1260"/>
          <w:tab w:val="left" w:pos="2400"/>
        </w:tabs>
        <w:spacing w:line="360" w:lineRule="auto"/>
        <w:ind w:firstLine="902"/>
        <w:jc w:val="both"/>
      </w:pPr>
      <w:r w:rsidRPr="00175FE5">
        <w:t>- stebėtojų taryba sudaryta iš 5 (penkių) narių, renkamų 4 (keturių) metų laikotarpiui.</w:t>
      </w:r>
    </w:p>
    <w:p w:rsidR="004B21BE" w:rsidRPr="00175FE5" w:rsidRDefault="004B21BE" w:rsidP="00853CEA">
      <w:pPr>
        <w:tabs>
          <w:tab w:val="left" w:pos="2400"/>
          <w:tab w:val="num" w:pos="2700"/>
        </w:tabs>
        <w:spacing w:line="360" w:lineRule="auto"/>
        <w:ind w:left="900"/>
        <w:jc w:val="both"/>
      </w:pPr>
      <w:r w:rsidRPr="00175FE5">
        <w:t>- vienasmenis valdymo organas – bendrovės vadovas (direktorius), kurį skiria ir atleidžia bendrovės stebėtojų taryba.</w:t>
      </w:r>
    </w:p>
    <w:p w:rsidR="004B21BE" w:rsidRDefault="004B21BE" w:rsidP="00853CEA">
      <w:pPr>
        <w:tabs>
          <w:tab w:val="num" w:pos="1260"/>
          <w:tab w:val="left" w:pos="2400"/>
        </w:tabs>
        <w:spacing w:line="360" w:lineRule="auto"/>
        <w:ind w:firstLine="902"/>
        <w:jc w:val="both"/>
      </w:pPr>
      <w:r w:rsidRPr="00175FE5">
        <w:t>Visuotinis akcininkų susirinkimas yra aukščiausias bendrovės organas, jo funkcijas atlieka vienintelis bendrovės akcininkas – Pagėgių savivaldybės taryba, kurios sprendimai prilygsta visuotinio akcininkų susirinkimo sprendimams.</w:t>
      </w:r>
    </w:p>
    <w:p w:rsidR="004B21BE" w:rsidRPr="00175FE5" w:rsidRDefault="004B21BE" w:rsidP="00853CEA">
      <w:pPr>
        <w:tabs>
          <w:tab w:val="num" w:pos="1260"/>
          <w:tab w:val="left" w:pos="2400"/>
        </w:tabs>
        <w:spacing w:line="360" w:lineRule="auto"/>
        <w:ind w:firstLine="902"/>
        <w:jc w:val="both"/>
      </w:pPr>
      <w:r w:rsidRPr="00175FE5">
        <w:t xml:space="preserve">2016 metų pabaigoje dirbo 32 darbuotojai (iš jų 1 yra vaiko priežiūros atostogose), iš jų: administracija – 9 (1 vaiko priežiūros atostogose), vandens tiekimo padalinys – 9, nuotekų – 4, šilumos-turgaus padalinys – 5, pardavimų padalinys – 5. Vidutinis darbuotojo darbo užmokestis priskaitomas per mėnesį – 523,41 Eur. </w:t>
      </w:r>
    </w:p>
    <w:p w:rsidR="004B21BE" w:rsidRPr="00175FE5" w:rsidRDefault="004B21BE" w:rsidP="00853CEA">
      <w:pPr>
        <w:shd w:val="clear" w:color="auto" w:fill="FFFFFF"/>
        <w:tabs>
          <w:tab w:val="num" w:pos="1260"/>
          <w:tab w:val="left" w:pos="2400"/>
        </w:tabs>
        <w:spacing w:line="360" w:lineRule="auto"/>
        <w:ind w:firstLine="902"/>
        <w:jc w:val="both"/>
      </w:pPr>
      <w:r w:rsidRPr="00175FE5">
        <w:t>Bendrovė savų akcijų nėra supirkusi, filialų  ir atstovybių nėra įsteigusi.</w:t>
      </w:r>
    </w:p>
    <w:p w:rsidR="004B21BE" w:rsidRPr="00175FE5" w:rsidRDefault="004B21BE" w:rsidP="00853CEA">
      <w:pPr>
        <w:numPr>
          <w:ilvl w:val="0"/>
          <w:numId w:val="4"/>
        </w:numPr>
        <w:shd w:val="clear" w:color="auto" w:fill="FFFFFF"/>
        <w:tabs>
          <w:tab w:val="num" w:pos="1260"/>
          <w:tab w:val="left" w:pos="2400"/>
        </w:tabs>
        <w:overflowPunct/>
        <w:autoSpaceDE/>
        <w:autoSpaceDN/>
        <w:adjustRightInd/>
        <w:spacing w:before="100" w:beforeAutospacing="1" w:after="100" w:afterAutospacing="1" w:line="360" w:lineRule="auto"/>
        <w:ind w:left="0" w:firstLine="902"/>
        <w:jc w:val="both"/>
        <w:rPr>
          <w:b/>
          <w:bCs/>
        </w:rPr>
      </w:pPr>
      <w:r w:rsidRPr="00175FE5">
        <w:rPr>
          <w:b/>
          <w:bCs/>
        </w:rPr>
        <w:t>UAB „Pagėgių komunalinis ūkis“ finansinės – ūkinės veiklos analizė.</w:t>
      </w:r>
    </w:p>
    <w:p w:rsidR="004B21BE" w:rsidRPr="00175FE5" w:rsidRDefault="004B21BE" w:rsidP="00853CEA">
      <w:pPr>
        <w:shd w:val="clear" w:color="auto" w:fill="FFFFFF"/>
        <w:spacing w:line="360" w:lineRule="auto"/>
        <w:ind w:firstLine="902"/>
        <w:jc w:val="both"/>
        <w:rPr>
          <w:color w:val="2B2B2B"/>
        </w:rPr>
      </w:pPr>
      <w:r w:rsidRPr="00175FE5">
        <w:rPr>
          <w:b/>
          <w:bCs/>
          <w:color w:val="2B2B2B"/>
        </w:rPr>
        <w:t xml:space="preserve">Vandens tiekimas. </w:t>
      </w:r>
      <w:r w:rsidRPr="00175FE5">
        <w:rPr>
          <w:color w:val="2B2B2B"/>
        </w:rPr>
        <w:t xml:space="preserve">UAB „Pagėgių komunalinis ūkis“ eksploatuoja ir tiekia vandenį iš vandenviečių, prižiūri jų sanitarinių apsaugos zonų teritoriją, aplink sodinami gluosniai, šienaujama teritorija. UAB „Pagėgių komunalinis ūkis“ tiekia vandenį Pagėgių savivaldybėje. Įmonė eksploatuoja 23 vandenvietes. Kuriuose tiekia tik požeminį vandenį iš giluminių gręžinių. Gerą vandens kokybę įrodo atliktos vandens tyrimų analizės, kurios </w:t>
      </w:r>
      <w:r>
        <w:rPr>
          <w:color w:val="2B2B2B"/>
        </w:rPr>
        <w:br w:type="page"/>
      </w:r>
      <w:r w:rsidRPr="00175FE5">
        <w:rPr>
          <w:color w:val="2B2B2B"/>
        </w:rPr>
        <w:t>atitinka visus Higienos normos HN 24:2003 reikalavimus atitinkantį vandenį. Per 2016 metus buvo paimtas 31 vandens mėginys. Iš jų 22 mikrobiologiniai ir 9 cheminiai mėginiai. Vandens mėginių kiekį reikiamą ištirti nustato Valstybinės maisto ir veterinarijos tarnybos Pagėgių pasienio veterinarijos postas. Vandens laboratorinius tyrimus atlieka UAB „Tauragės vandenys“. Vandenį tiekia 24 pastoviai dirbantys siurbliai. Įmonės aptarnaujamose teritorijose vandens trasos sudaro 142 km. ilgio vandens tiekimo liniją, kuria per 1404 įvadus vandeniu aprūpinami 6,3 tūkst. gyventojų (62</w:t>
      </w:r>
      <w:r w:rsidRPr="00175FE5">
        <w:rPr>
          <w:b/>
          <w:bCs/>
          <w:color w:val="2B2B2B"/>
        </w:rPr>
        <w:t xml:space="preserve"> </w:t>
      </w:r>
      <w:r w:rsidRPr="00175FE5">
        <w:rPr>
          <w:color w:val="2B2B2B"/>
        </w:rPr>
        <w:t xml:space="preserve"> proc. aptarnaujamos teritorijos gyventojų). Įmonė prižiūri ir remontuoja vandentiekio tinklus. Kad vartotojus pasiektų labai geros kokybės vanduo, įrengiami vandens gerinimo įrenginiai, kuriuose šalinama geležis ir manganas. Iš viso tiekiamo vandens kokybei gerinti įrengti 7 nugeležinimo įrenginiai: Vilkyškių k., Piktupėnų k., Benininkų k., Lumpėnų k., Natkiškių k. Rukų k, Panemunės m. 6 didžiausios vandenvietės (Pagėgių, Vilkyškių, Piktupėnų, Benininkų, Lumpėnų, Rukų) išgauna 100 ir daugiau m</w:t>
      </w:r>
      <w:r w:rsidRPr="00175FE5">
        <w:rPr>
          <w:color w:val="2B2B2B"/>
          <w:vertAlign w:val="superscript"/>
        </w:rPr>
        <w:t>3</w:t>
      </w:r>
      <w:r w:rsidRPr="00175FE5">
        <w:rPr>
          <w:color w:val="2B2B2B"/>
        </w:rPr>
        <w:t>/d geriamo vandens.</w:t>
      </w:r>
    </w:p>
    <w:p w:rsidR="004B21BE" w:rsidRPr="00175FE5" w:rsidRDefault="004B21BE" w:rsidP="00853CEA">
      <w:pPr>
        <w:shd w:val="clear" w:color="auto" w:fill="FFFFFF"/>
        <w:spacing w:line="360" w:lineRule="auto"/>
        <w:ind w:firstLine="902"/>
        <w:jc w:val="both"/>
      </w:pPr>
      <w:r w:rsidRPr="00175FE5">
        <w:rPr>
          <w:b/>
          <w:bCs/>
          <w:color w:val="2B2B2B"/>
        </w:rPr>
        <w:t xml:space="preserve">Nuotekų tvarkymas. </w:t>
      </w:r>
      <w:r w:rsidRPr="00175FE5">
        <w:rPr>
          <w:color w:val="2B2B2B"/>
        </w:rPr>
        <w:t>Įmonė eksploatuoja 7 nuotekų valymo įrenginius (išleistuvus): Pagėgių m., Natkiškių k., Piktupėnų k., Lumpėnų k., Šilgalių k., Vilkyškių k., ir Stoniškių k. Nuotekų valyklos yra Pagėgiuose, Šilgaliuose, Stoniškiuose ir Vilkyškiuose, kitur yra tik dalinai veikiančios nuotekų valyklos. Taip pat įmonė prižiūri ir remontuoja nuotekų tinklus. Buitinių nuotekų tinklų trasos įmonėje sudaro 42 km. Buitinių nuotekų tvarkymo paslauga naudojasi 3,8 tūkst. gyventojų (38 proc. aptarnaujamos teritorijos gyventojų). Veikia 8 nuotekų siurblinės. Įmonė vadovaujasi Taršos integruotos prevencijos ir kontrolės leidimu, kuris nustato nuotekų monitoringą. Per 2016 metus buvo atlikti 73 nuotekų tyrimai, iš jų 49 Pagėgių nuotekų valyklos mėginiai. Nuotekų laboratorinius tyrimus atlieka UAB „Tauragės vandenys“.</w:t>
      </w:r>
    </w:p>
    <w:p w:rsidR="004B21BE" w:rsidRPr="00175FE5" w:rsidRDefault="004B21BE" w:rsidP="00853CEA">
      <w:pPr>
        <w:shd w:val="clear" w:color="auto" w:fill="FFFFFF"/>
        <w:spacing w:line="360" w:lineRule="auto"/>
        <w:ind w:firstLine="902"/>
        <w:jc w:val="both"/>
      </w:pPr>
      <w:r w:rsidRPr="00175FE5">
        <w:rPr>
          <w:b/>
          <w:bCs/>
        </w:rPr>
        <w:t xml:space="preserve">Šilumos tiekimas. </w:t>
      </w:r>
      <w:r w:rsidRPr="00175FE5">
        <w:rPr>
          <w:color w:val="2B2B2B"/>
        </w:rPr>
        <w:t>UAB ,,Pagėgių komunalinis ūkis" priklausanti Pagėgių miesto katilinė tiekia šilumą gyventojams, šildomas plotas sudaro 7142,84m2. Katilų kūrenimui, šilumos energijai gaminti naudojamas kietas kuras - malkos.</w:t>
      </w:r>
    </w:p>
    <w:p w:rsidR="004B21BE" w:rsidRDefault="004B21BE" w:rsidP="00853CEA">
      <w:pPr>
        <w:shd w:val="clear" w:color="auto" w:fill="FFFFFF"/>
        <w:spacing w:line="360" w:lineRule="auto"/>
        <w:ind w:right="-472" w:firstLine="902"/>
        <w:jc w:val="both"/>
      </w:pPr>
      <w:r w:rsidRPr="00175FE5">
        <w:t>Pajamos. Sąnaudos. 2016 m</w:t>
      </w:r>
      <w:r>
        <w:t>etus</w:t>
      </w:r>
      <w:r w:rsidRPr="00175FE5">
        <w:t xml:space="preserve"> Bendrovė uždirbo 442,8 tūkst. Eur pajamų ir patyrė 331,4 tūkst. Eur tiesioginių sąnaudų.</w:t>
      </w:r>
    </w:p>
    <w:p w:rsidR="004B21BE" w:rsidRPr="00175FE5" w:rsidRDefault="004B21BE" w:rsidP="00853CEA">
      <w:pPr>
        <w:shd w:val="clear" w:color="auto" w:fill="FFFFFF"/>
        <w:spacing w:before="240" w:line="360" w:lineRule="auto"/>
        <w:ind w:right="-471" w:firstLine="902"/>
        <w:rPr>
          <w:b/>
          <w:bCs/>
          <w:i/>
          <w:iCs/>
        </w:rPr>
      </w:pPr>
      <w:r>
        <w:br w:type="page"/>
      </w:r>
      <w:r w:rsidRPr="00175FE5">
        <w:rPr>
          <w:b/>
          <w:bCs/>
          <w:i/>
          <w:iCs/>
        </w:rPr>
        <w:t>1 lentelė</w:t>
      </w:r>
    </w:p>
    <w:tbl>
      <w:tblPr>
        <w:tblW w:w="10490"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6"/>
        <w:gridCol w:w="665"/>
        <w:gridCol w:w="676"/>
        <w:gridCol w:w="665"/>
        <w:gridCol w:w="665"/>
        <w:gridCol w:w="659"/>
        <w:gridCol w:w="674"/>
        <w:gridCol w:w="660"/>
        <w:gridCol w:w="683"/>
        <w:gridCol w:w="616"/>
        <w:gridCol w:w="616"/>
        <w:gridCol w:w="616"/>
        <w:gridCol w:w="616"/>
        <w:gridCol w:w="626"/>
        <w:gridCol w:w="707"/>
      </w:tblGrid>
      <w:tr w:rsidR="004B21BE" w:rsidRPr="00175FE5">
        <w:trPr>
          <w:trHeight w:val="694"/>
        </w:trPr>
        <w:tc>
          <w:tcPr>
            <w:tcW w:w="1335" w:type="dxa"/>
            <w:tcBorders>
              <w:right w:val="single" w:sz="4" w:space="0" w:color="auto"/>
            </w:tcBorders>
          </w:tcPr>
          <w:p w:rsidR="004B21BE" w:rsidRPr="00175FE5" w:rsidRDefault="004B21BE" w:rsidP="00853CEA">
            <w:pPr>
              <w:shd w:val="clear" w:color="auto" w:fill="FFFFFF"/>
              <w:jc w:val="center"/>
              <w:rPr>
                <w:sz w:val="20"/>
                <w:szCs w:val="20"/>
              </w:rPr>
            </w:pPr>
            <w:r w:rsidRPr="00175FE5">
              <w:rPr>
                <w:sz w:val="20"/>
                <w:szCs w:val="20"/>
              </w:rPr>
              <w:t>Rodikliai</w:t>
            </w:r>
          </w:p>
        </w:tc>
        <w:tc>
          <w:tcPr>
            <w:tcW w:w="1343" w:type="dxa"/>
            <w:gridSpan w:val="2"/>
            <w:tcBorders>
              <w:left w:val="single" w:sz="4" w:space="0" w:color="auto"/>
              <w:right w:val="single" w:sz="4" w:space="0" w:color="auto"/>
            </w:tcBorders>
          </w:tcPr>
          <w:p w:rsidR="004B21BE" w:rsidRPr="00175FE5" w:rsidRDefault="004B21BE" w:rsidP="00853CEA">
            <w:pPr>
              <w:shd w:val="clear" w:color="auto" w:fill="FFFFFF"/>
              <w:jc w:val="center"/>
              <w:rPr>
                <w:sz w:val="20"/>
                <w:szCs w:val="20"/>
              </w:rPr>
            </w:pPr>
            <w:r w:rsidRPr="00175FE5">
              <w:rPr>
                <w:sz w:val="20"/>
                <w:szCs w:val="20"/>
              </w:rPr>
              <w:t>Vandens</w:t>
            </w:r>
          </w:p>
          <w:p w:rsidR="004B21BE" w:rsidRPr="00175FE5" w:rsidRDefault="004B21BE" w:rsidP="00853CEA">
            <w:pPr>
              <w:shd w:val="clear" w:color="auto" w:fill="FFFFFF"/>
              <w:jc w:val="center"/>
              <w:rPr>
                <w:sz w:val="20"/>
                <w:szCs w:val="20"/>
              </w:rPr>
            </w:pPr>
            <w:r w:rsidRPr="00175FE5">
              <w:rPr>
                <w:sz w:val="20"/>
                <w:szCs w:val="20"/>
              </w:rPr>
              <w:t>tiekimas</w:t>
            </w:r>
          </w:p>
        </w:tc>
        <w:tc>
          <w:tcPr>
            <w:tcW w:w="1332" w:type="dxa"/>
            <w:gridSpan w:val="2"/>
            <w:tcBorders>
              <w:left w:val="single" w:sz="4" w:space="0" w:color="auto"/>
              <w:right w:val="single" w:sz="4" w:space="0" w:color="auto"/>
            </w:tcBorders>
          </w:tcPr>
          <w:p w:rsidR="004B21BE" w:rsidRPr="00175FE5" w:rsidRDefault="004B21BE" w:rsidP="00853CEA">
            <w:pPr>
              <w:shd w:val="clear" w:color="auto" w:fill="FFFFFF"/>
              <w:jc w:val="center"/>
              <w:rPr>
                <w:sz w:val="20"/>
                <w:szCs w:val="20"/>
              </w:rPr>
            </w:pPr>
            <w:r w:rsidRPr="00175FE5">
              <w:rPr>
                <w:sz w:val="20"/>
                <w:szCs w:val="20"/>
              </w:rPr>
              <w:t>Nuotekos</w:t>
            </w:r>
          </w:p>
        </w:tc>
        <w:tc>
          <w:tcPr>
            <w:tcW w:w="1335" w:type="dxa"/>
            <w:gridSpan w:val="2"/>
            <w:tcBorders>
              <w:left w:val="single" w:sz="4" w:space="0" w:color="auto"/>
            </w:tcBorders>
          </w:tcPr>
          <w:p w:rsidR="004B21BE" w:rsidRPr="00175FE5" w:rsidRDefault="004B21BE" w:rsidP="00853CEA">
            <w:pPr>
              <w:shd w:val="clear" w:color="auto" w:fill="FFFFFF"/>
              <w:jc w:val="center"/>
              <w:rPr>
                <w:sz w:val="20"/>
                <w:szCs w:val="20"/>
              </w:rPr>
            </w:pPr>
            <w:r w:rsidRPr="00175FE5">
              <w:rPr>
                <w:sz w:val="20"/>
                <w:szCs w:val="20"/>
              </w:rPr>
              <w:t>Šildymas</w:t>
            </w:r>
          </w:p>
        </w:tc>
        <w:tc>
          <w:tcPr>
            <w:tcW w:w="1346" w:type="dxa"/>
            <w:gridSpan w:val="2"/>
          </w:tcPr>
          <w:p w:rsidR="004B21BE" w:rsidRPr="00175FE5" w:rsidRDefault="004B21BE" w:rsidP="00853CEA">
            <w:pPr>
              <w:shd w:val="clear" w:color="auto" w:fill="FFFFFF"/>
              <w:jc w:val="center"/>
              <w:rPr>
                <w:sz w:val="20"/>
                <w:szCs w:val="20"/>
              </w:rPr>
            </w:pPr>
            <w:r w:rsidRPr="00175FE5">
              <w:rPr>
                <w:sz w:val="20"/>
                <w:szCs w:val="20"/>
              </w:rPr>
              <w:t>Pardavimų kaina</w:t>
            </w:r>
          </w:p>
        </w:tc>
        <w:tc>
          <w:tcPr>
            <w:tcW w:w="1232" w:type="dxa"/>
            <w:gridSpan w:val="2"/>
            <w:tcBorders>
              <w:right w:val="single" w:sz="4" w:space="0" w:color="auto"/>
            </w:tcBorders>
          </w:tcPr>
          <w:p w:rsidR="004B21BE" w:rsidRPr="00175FE5" w:rsidRDefault="004B21BE" w:rsidP="00853CEA">
            <w:pPr>
              <w:shd w:val="clear" w:color="auto" w:fill="FFFFFF"/>
              <w:jc w:val="center"/>
              <w:rPr>
                <w:sz w:val="20"/>
                <w:szCs w:val="20"/>
              </w:rPr>
            </w:pPr>
            <w:r w:rsidRPr="00175FE5">
              <w:rPr>
                <w:sz w:val="20"/>
                <w:szCs w:val="20"/>
              </w:rPr>
              <w:t>Turgaus</w:t>
            </w:r>
          </w:p>
          <w:p w:rsidR="004B21BE" w:rsidRPr="00175FE5" w:rsidRDefault="004B21BE" w:rsidP="00853CEA">
            <w:pPr>
              <w:shd w:val="clear" w:color="auto" w:fill="FFFFFF"/>
              <w:jc w:val="center"/>
              <w:rPr>
                <w:sz w:val="20"/>
                <w:szCs w:val="20"/>
              </w:rPr>
            </w:pPr>
            <w:r w:rsidRPr="00175FE5">
              <w:rPr>
                <w:sz w:val="20"/>
                <w:szCs w:val="20"/>
              </w:rPr>
              <w:t>paslaugos</w:t>
            </w:r>
          </w:p>
        </w:tc>
        <w:tc>
          <w:tcPr>
            <w:tcW w:w="1232" w:type="dxa"/>
            <w:gridSpan w:val="2"/>
            <w:tcBorders>
              <w:left w:val="single" w:sz="4" w:space="0" w:color="auto"/>
            </w:tcBorders>
          </w:tcPr>
          <w:p w:rsidR="004B21BE" w:rsidRPr="00175FE5" w:rsidRDefault="004B21BE" w:rsidP="00853CEA">
            <w:pPr>
              <w:shd w:val="clear" w:color="auto" w:fill="FFFFFF"/>
              <w:jc w:val="center"/>
              <w:rPr>
                <w:sz w:val="20"/>
                <w:szCs w:val="20"/>
              </w:rPr>
            </w:pPr>
            <w:r w:rsidRPr="00175FE5">
              <w:rPr>
                <w:sz w:val="20"/>
                <w:szCs w:val="20"/>
              </w:rPr>
              <w:t>Kitos paslaugos</w:t>
            </w:r>
          </w:p>
        </w:tc>
        <w:tc>
          <w:tcPr>
            <w:tcW w:w="1335" w:type="dxa"/>
            <w:gridSpan w:val="2"/>
          </w:tcPr>
          <w:p w:rsidR="004B21BE" w:rsidRPr="00175FE5" w:rsidRDefault="004B21BE" w:rsidP="00853CEA">
            <w:pPr>
              <w:shd w:val="clear" w:color="auto" w:fill="FFFFFF"/>
              <w:jc w:val="center"/>
              <w:rPr>
                <w:b/>
                <w:bCs/>
                <w:sz w:val="20"/>
                <w:szCs w:val="20"/>
              </w:rPr>
            </w:pPr>
            <w:r w:rsidRPr="00175FE5">
              <w:rPr>
                <w:b/>
                <w:bCs/>
                <w:sz w:val="20"/>
                <w:szCs w:val="20"/>
              </w:rPr>
              <w:t>Viso įmonėje</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20"/>
                <w:szCs w:val="20"/>
              </w:rPr>
            </w:pP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b/>
                <w:bCs/>
                <w:sz w:val="20"/>
                <w:szCs w:val="20"/>
              </w:rPr>
            </w:pPr>
            <w:r w:rsidRPr="00175FE5">
              <w:rPr>
                <w:b/>
                <w:bCs/>
                <w:sz w:val="20"/>
                <w:szCs w:val="20"/>
              </w:rPr>
              <w:t>2016</w:t>
            </w: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b/>
                <w:bCs/>
                <w:sz w:val="20"/>
                <w:szCs w:val="20"/>
              </w:rPr>
            </w:pPr>
            <w:r w:rsidRPr="00175FE5">
              <w:rPr>
                <w:b/>
                <w:bCs/>
                <w:sz w:val="20"/>
                <w:szCs w:val="20"/>
              </w:rPr>
              <w:t>2015</w:t>
            </w:r>
          </w:p>
        </w:tc>
        <w:tc>
          <w:tcPr>
            <w:tcW w:w="666" w:type="dxa"/>
            <w:tcBorders>
              <w:left w:val="single" w:sz="4" w:space="0" w:color="auto"/>
              <w:right w:val="single" w:sz="4" w:space="0" w:color="auto"/>
            </w:tcBorders>
          </w:tcPr>
          <w:p w:rsidR="004B21BE" w:rsidRPr="00175FE5" w:rsidRDefault="004B21BE" w:rsidP="00853CEA">
            <w:pPr>
              <w:shd w:val="clear" w:color="auto" w:fill="FFFFFF"/>
              <w:rPr>
                <w:b/>
                <w:bCs/>
                <w:sz w:val="20"/>
                <w:szCs w:val="20"/>
              </w:rPr>
            </w:pPr>
            <w:r w:rsidRPr="00175FE5">
              <w:rPr>
                <w:b/>
                <w:bCs/>
                <w:sz w:val="20"/>
                <w:szCs w:val="20"/>
              </w:rPr>
              <w:t>2016</w:t>
            </w:r>
          </w:p>
        </w:tc>
        <w:tc>
          <w:tcPr>
            <w:tcW w:w="666" w:type="dxa"/>
            <w:tcBorders>
              <w:left w:val="single" w:sz="4" w:space="0" w:color="auto"/>
              <w:right w:val="single" w:sz="4" w:space="0" w:color="auto"/>
            </w:tcBorders>
          </w:tcPr>
          <w:p w:rsidR="004B21BE" w:rsidRPr="00175FE5" w:rsidRDefault="004B21BE" w:rsidP="00853CEA">
            <w:pPr>
              <w:shd w:val="clear" w:color="auto" w:fill="FFFFFF"/>
              <w:rPr>
                <w:b/>
                <w:bCs/>
                <w:sz w:val="20"/>
                <w:szCs w:val="20"/>
              </w:rPr>
            </w:pPr>
            <w:r w:rsidRPr="00175FE5">
              <w:rPr>
                <w:b/>
                <w:bCs/>
                <w:sz w:val="20"/>
                <w:szCs w:val="20"/>
              </w:rPr>
              <w:t>2015</w:t>
            </w:r>
          </w:p>
        </w:tc>
        <w:tc>
          <w:tcPr>
            <w:tcW w:w="660" w:type="dxa"/>
            <w:tcBorders>
              <w:left w:val="single" w:sz="4" w:space="0" w:color="auto"/>
              <w:right w:val="single" w:sz="4" w:space="0" w:color="auto"/>
            </w:tcBorders>
          </w:tcPr>
          <w:p w:rsidR="004B21BE" w:rsidRPr="00175FE5" w:rsidRDefault="004B21BE" w:rsidP="00853CEA">
            <w:pPr>
              <w:shd w:val="clear" w:color="auto" w:fill="FFFFFF"/>
              <w:rPr>
                <w:b/>
                <w:bCs/>
                <w:sz w:val="20"/>
                <w:szCs w:val="20"/>
              </w:rPr>
            </w:pPr>
            <w:r w:rsidRPr="00175FE5">
              <w:rPr>
                <w:b/>
                <w:bCs/>
                <w:sz w:val="20"/>
                <w:szCs w:val="20"/>
              </w:rPr>
              <w:t>2016</w:t>
            </w:r>
          </w:p>
        </w:tc>
        <w:tc>
          <w:tcPr>
            <w:tcW w:w="675" w:type="dxa"/>
            <w:tcBorders>
              <w:left w:val="single" w:sz="4" w:space="0" w:color="auto"/>
            </w:tcBorders>
          </w:tcPr>
          <w:p w:rsidR="004B21BE" w:rsidRPr="00175FE5" w:rsidRDefault="004B21BE" w:rsidP="00853CEA">
            <w:pPr>
              <w:shd w:val="clear" w:color="auto" w:fill="FFFFFF"/>
              <w:rPr>
                <w:b/>
                <w:bCs/>
                <w:sz w:val="20"/>
                <w:szCs w:val="20"/>
              </w:rPr>
            </w:pPr>
            <w:r w:rsidRPr="00175FE5">
              <w:rPr>
                <w:b/>
                <w:bCs/>
                <w:sz w:val="20"/>
                <w:szCs w:val="20"/>
              </w:rPr>
              <w:t>2015</w:t>
            </w:r>
          </w:p>
        </w:tc>
        <w:tc>
          <w:tcPr>
            <w:tcW w:w="661" w:type="dxa"/>
            <w:tcBorders>
              <w:righ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2016</w:t>
            </w:r>
          </w:p>
        </w:tc>
        <w:tc>
          <w:tcPr>
            <w:tcW w:w="685" w:type="dxa"/>
            <w:tcBorders>
              <w:lef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2015</w:t>
            </w:r>
          </w:p>
        </w:tc>
        <w:tc>
          <w:tcPr>
            <w:tcW w:w="616" w:type="dxa"/>
            <w:tcBorders>
              <w:righ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2016</w:t>
            </w:r>
          </w:p>
        </w:tc>
        <w:tc>
          <w:tcPr>
            <w:tcW w:w="616" w:type="dxa"/>
            <w:tcBorders>
              <w:righ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2015</w:t>
            </w: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2016</w:t>
            </w:r>
          </w:p>
        </w:tc>
        <w:tc>
          <w:tcPr>
            <w:tcW w:w="616" w:type="dxa"/>
            <w:tcBorders>
              <w:lef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2015</w:t>
            </w:r>
          </w:p>
        </w:tc>
        <w:tc>
          <w:tcPr>
            <w:tcW w:w="626" w:type="dxa"/>
            <w:tcBorders>
              <w:righ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2016</w:t>
            </w:r>
          </w:p>
        </w:tc>
        <w:tc>
          <w:tcPr>
            <w:tcW w:w="709" w:type="dxa"/>
            <w:tcBorders>
              <w:left w:val="single" w:sz="4" w:space="0" w:color="auto"/>
            </w:tcBorders>
          </w:tcPr>
          <w:p w:rsidR="004B21BE" w:rsidRPr="00175FE5" w:rsidRDefault="004B21BE" w:rsidP="00853CEA">
            <w:pPr>
              <w:shd w:val="clear" w:color="auto" w:fill="FFFFFF"/>
              <w:jc w:val="center"/>
              <w:rPr>
                <w:b/>
                <w:bCs/>
                <w:sz w:val="20"/>
                <w:szCs w:val="20"/>
                <w:lang w:val="en-US"/>
              </w:rPr>
            </w:pPr>
            <w:r w:rsidRPr="00175FE5">
              <w:rPr>
                <w:b/>
                <w:bCs/>
                <w:sz w:val="20"/>
                <w:szCs w:val="20"/>
                <w:lang w:val="en-US"/>
              </w:rPr>
              <w:t>2015</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18"/>
                <w:szCs w:val="18"/>
              </w:rPr>
            </w:pPr>
            <w:r w:rsidRPr="00175FE5">
              <w:rPr>
                <w:sz w:val="18"/>
                <w:szCs w:val="18"/>
              </w:rPr>
              <w:t>Pardavimo pajamos</w:t>
            </w: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170,2</w:t>
            </w: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176,6</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147,1</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149,5</w:t>
            </w:r>
          </w:p>
        </w:tc>
        <w:tc>
          <w:tcPr>
            <w:tcW w:w="660"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54,9</w:t>
            </w:r>
          </w:p>
        </w:tc>
        <w:tc>
          <w:tcPr>
            <w:tcW w:w="675" w:type="dxa"/>
            <w:tcBorders>
              <w:left w:val="single" w:sz="4" w:space="0" w:color="auto"/>
            </w:tcBorders>
          </w:tcPr>
          <w:p w:rsidR="004B21BE" w:rsidRPr="00175FE5" w:rsidRDefault="004B21BE" w:rsidP="00853CEA">
            <w:pPr>
              <w:shd w:val="clear" w:color="auto" w:fill="FFFFFF"/>
              <w:rPr>
                <w:sz w:val="18"/>
                <w:szCs w:val="18"/>
              </w:rPr>
            </w:pPr>
            <w:r w:rsidRPr="00175FE5">
              <w:rPr>
                <w:sz w:val="18"/>
                <w:szCs w:val="18"/>
              </w:rPr>
              <w:t>53,0</w:t>
            </w:r>
          </w:p>
        </w:tc>
        <w:tc>
          <w:tcPr>
            <w:tcW w:w="661"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32,5</w:t>
            </w:r>
          </w:p>
        </w:tc>
        <w:tc>
          <w:tcPr>
            <w:tcW w:w="685"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33,2</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2,8</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3,2</w:t>
            </w: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35,3</w:t>
            </w:r>
          </w:p>
        </w:tc>
        <w:tc>
          <w:tcPr>
            <w:tcW w:w="616"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30,4</w:t>
            </w:r>
          </w:p>
        </w:tc>
        <w:tc>
          <w:tcPr>
            <w:tcW w:w="62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442,8</w:t>
            </w:r>
          </w:p>
        </w:tc>
        <w:tc>
          <w:tcPr>
            <w:tcW w:w="709"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445,9</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18"/>
                <w:szCs w:val="18"/>
              </w:rPr>
            </w:pPr>
            <w:r w:rsidRPr="00175FE5">
              <w:rPr>
                <w:sz w:val="18"/>
                <w:szCs w:val="18"/>
              </w:rPr>
              <w:t>Pardavimo savikaina</w:t>
            </w: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128,3</w:t>
            </w: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157,8</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127,7</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117,3</w:t>
            </w:r>
          </w:p>
        </w:tc>
        <w:tc>
          <w:tcPr>
            <w:tcW w:w="660"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58,1</w:t>
            </w:r>
          </w:p>
        </w:tc>
        <w:tc>
          <w:tcPr>
            <w:tcW w:w="675" w:type="dxa"/>
            <w:tcBorders>
              <w:left w:val="single" w:sz="4" w:space="0" w:color="auto"/>
            </w:tcBorders>
          </w:tcPr>
          <w:p w:rsidR="004B21BE" w:rsidRPr="00175FE5" w:rsidRDefault="004B21BE" w:rsidP="00853CEA">
            <w:pPr>
              <w:shd w:val="clear" w:color="auto" w:fill="FFFFFF"/>
              <w:rPr>
                <w:sz w:val="18"/>
                <w:szCs w:val="18"/>
              </w:rPr>
            </w:pPr>
            <w:r w:rsidRPr="00175FE5">
              <w:rPr>
                <w:sz w:val="18"/>
                <w:szCs w:val="18"/>
              </w:rPr>
              <w:t>53,0</w:t>
            </w:r>
          </w:p>
        </w:tc>
        <w:tc>
          <w:tcPr>
            <w:tcW w:w="661" w:type="dxa"/>
            <w:tcBorders>
              <w:right w:val="single" w:sz="4" w:space="0" w:color="auto"/>
            </w:tcBorders>
          </w:tcPr>
          <w:p w:rsidR="004B21BE" w:rsidRPr="00175FE5" w:rsidRDefault="004B21BE" w:rsidP="00853CEA">
            <w:pPr>
              <w:shd w:val="clear" w:color="auto" w:fill="FFFFFF"/>
              <w:jc w:val="center"/>
              <w:rPr>
                <w:sz w:val="18"/>
                <w:szCs w:val="18"/>
                <w:lang w:val="en-US"/>
              </w:rPr>
            </w:pPr>
          </w:p>
        </w:tc>
        <w:tc>
          <w:tcPr>
            <w:tcW w:w="685" w:type="dxa"/>
            <w:tcBorders>
              <w:left w:val="single" w:sz="4" w:space="0" w:color="auto"/>
            </w:tcBorders>
          </w:tcPr>
          <w:p w:rsidR="004B21BE" w:rsidRPr="00175FE5" w:rsidRDefault="004B21BE" w:rsidP="00853CEA">
            <w:pPr>
              <w:shd w:val="clear" w:color="auto" w:fill="FFFFFF"/>
              <w:jc w:val="center"/>
              <w:rPr>
                <w:sz w:val="18"/>
                <w:szCs w:val="18"/>
                <w:lang w:val="en-US"/>
              </w:rPr>
            </w:pP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2,4</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0,8</w:t>
            </w: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14,9</w:t>
            </w:r>
          </w:p>
        </w:tc>
        <w:tc>
          <w:tcPr>
            <w:tcW w:w="616"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4,6</w:t>
            </w:r>
          </w:p>
        </w:tc>
        <w:tc>
          <w:tcPr>
            <w:tcW w:w="62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331,4</w:t>
            </w:r>
          </w:p>
        </w:tc>
        <w:tc>
          <w:tcPr>
            <w:tcW w:w="709"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333,5</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18"/>
                <w:szCs w:val="18"/>
              </w:rPr>
            </w:pPr>
            <w:r w:rsidRPr="00175FE5">
              <w:rPr>
                <w:sz w:val="18"/>
                <w:szCs w:val="18"/>
              </w:rPr>
              <w:t>Veiklos sąnaudos</w:t>
            </w: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p>
        </w:tc>
        <w:tc>
          <w:tcPr>
            <w:tcW w:w="660" w:type="dxa"/>
            <w:tcBorders>
              <w:left w:val="single" w:sz="4" w:space="0" w:color="auto"/>
              <w:right w:val="single" w:sz="4" w:space="0" w:color="auto"/>
            </w:tcBorders>
          </w:tcPr>
          <w:p w:rsidR="004B21BE" w:rsidRPr="00175FE5" w:rsidRDefault="004B21BE" w:rsidP="00853CEA">
            <w:pPr>
              <w:shd w:val="clear" w:color="auto" w:fill="FFFFFF"/>
              <w:rPr>
                <w:sz w:val="18"/>
                <w:szCs w:val="18"/>
              </w:rPr>
            </w:pPr>
          </w:p>
        </w:tc>
        <w:tc>
          <w:tcPr>
            <w:tcW w:w="675" w:type="dxa"/>
            <w:tcBorders>
              <w:left w:val="single" w:sz="4" w:space="0" w:color="auto"/>
            </w:tcBorders>
          </w:tcPr>
          <w:p w:rsidR="004B21BE" w:rsidRPr="00175FE5" w:rsidRDefault="004B21BE" w:rsidP="00853CEA">
            <w:pPr>
              <w:shd w:val="clear" w:color="auto" w:fill="FFFFFF"/>
              <w:rPr>
                <w:sz w:val="18"/>
                <w:szCs w:val="18"/>
              </w:rPr>
            </w:pPr>
          </w:p>
        </w:tc>
        <w:tc>
          <w:tcPr>
            <w:tcW w:w="661"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38,2</w:t>
            </w:r>
          </w:p>
        </w:tc>
        <w:tc>
          <w:tcPr>
            <w:tcW w:w="685" w:type="dxa"/>
            <w:tcBorders>
              <w:lef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56,2</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lang w:val="en-US"/>
              </w:rPr>
            </w:pPr>
          </w:p>
        </w:tc>
        <w:tc>
          <w:tcPr>
            <w:tcW w:w="616" w:type="dxa"/>
            <w:tcBorders>
              <w:left w:val="single" w:sz="4" w:space="0" w:color="auto"/>
            </w:tcBorders>
          </w:tcPr>
          <w:p w:rsidR="004B21BE" w:rsidRPr="00175FE5" w:rsidRDefault="004B21BE" w:rsidP="00853CEA">
            <w:pPr>
              <w:shd w:val="clear" w:color="auto" w:fill="FFFFFF"/>
              <w:jc w:val="center"/>
              <w:rPr>
                <w:sz w:val="18"/>
                <w:szCs w:val="18"/>
                <w:lang w:val="en-US"/>
              </w:rPr>
            </w:pPr>
          </w:p>
        </w:tc>
        <w:tc>
          <w:tcPr>
            <w:tcW w:w="626"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38,2</w:t>
            </w:r>
          </w:p>
        </w:tc>
        <w:tc>
          <w:tcPr>
            <w:tcW w:w="709" w:type="dxa"/>
            <w:tcBorders>
              <w:lef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56,2</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18"/>
                <w:szCs w:val="18"/>
              </w:rPr>
            </w:pPr>
            <w:r w:rsidRPr="00175FE5">
              <w:rPr>
                <w:sz w:val="18"/>
                <w:szCs w:val="18"/>
              </w:rPr>
              <w:t>Bendrosios ir administracinės sąnaudos</w:t>
            </w: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p>
          <w:p w:rsidR="004B21BE" w:rsidRPr="00175FE5" w:rsidRDefault="004B21BE" w:rsidP="00853CEA">
            <w:pPr>
              <w:shd w:val="clear" w:color="auto" w:fill="FFFFFF"/>
              <w:jc w:val="center"/>
              <w:rPr>
                <w:sz w:val="18"/>
                <w:szCs w:val="18"/>
              </w:rPr>
            </w:pPr>
            <w:r w:rsidRPr="00175FE5">
              <w:rPr>
                <w:sz w:val="18"/>
                <w:szCs w:val="18"/>
              </w:rPr>
              <w:t>51,7</w:t>
            </w: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p>
          <w:p w:rsidR="004B21BE" w:rsidRPr="00175FE5" w:rsidRDefault="004B21BE" w:rsidP="00853CEA">
            <w:pPr>
              <w:shd w:val="clear" w:color="auto" w:fill="FFFFFF"/>
              <w:jc w:val="center"/>
              <w:rPr>
                <w:sz w:val="18"/>
                <w:szCs w:val="18"/>
              </w:rPr>
            </w:pPr>
            <w:r w:rsidRPr="00175FE5">
              <w:rPr>
                <w:sz w:val="18"/>
                <w:szCs w:val="18"/>
              </w:rPr>
              <w:t>57,7</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p>
          <w:p w:rsidR="004B21BE" w:rsidRPr="00175FE5" w:rsidRDefault="004B21BE" w:rsidP="00853CEA">
            <w:pPr>
              <w:shd w:val="clear" w:color="auto" w:fill="FFFFFF"/>
              <w:rPr>
                <w:sz w:val="18"/>
                <w:szCs w:val="18"/>
              </w:rPr>
            </w:pPr>
            <w:r w:rsidRPr="00175FE5">
              <w:rPr>
                <w:sz w:val="18"/>
                <w:szCs w:val="18"/>
              </w:rPr>
              <w:t>44,7</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p>
          <w:p w:rsidR="004B21BE" w:rsidRPr="00175FE5" w:rsidRDefault="004B21BE" w:rsidP="00853CEA">
            <w:pPr>
              <w:shd w:val="clear" w:color="auto" w:fill="FFFFFF"/>
              <w:rPr>
                <w:sz w:val="18"/>
                <w:szCs w:val="18"/>
              </w:rPr>
            </w:pPr>
            <w:r w:rsidRPr="00175FE5">
              <w:rPr>
                <w:sz w:val="18"/>
                <w:szCs w:val="18"/>
              </w:rPr>
              <w:t>48,8</w:t>
            </w:r>
          </w:p>
        </w:tc>
        <w:tc>
          <w:tcPr>
            <w:tcW w:w="660" w:type="dxa"/>
            <w:tcBorders>
              <w:left w:val="single" w:sz="4" w:space="0" w:color="auto"/>
              <w:right w:val="single" w:sz="4" w:space="0" w:color="auto"/>
            </w:tcBorders>
          </w:tcPr>
          <w:p w:rsidR="004B21BE" w:rsidRPr="00175FE5" w:rsidRDefault="004B21BE" w:rsidP="00853CEA">
            <w:pPr>
              <w:shd w:val="clear" w:color="auto" w:fill="FFFFFF"/>
              <w:rPr>
                <w:sz w:val="18"/>
                <w:szCs w:val="18"/>
              </w:rPr>
            </w:pPr>
          </w:p>
          <w:p w:rsidR="004B21BE" w:rsidRPr="00175FE5" w:rsidRDefault="004B21BE" w:rsidP="00853CEA">
            <w:pPr>
              <w:shd w:val="clear" w:color="auto" w:fill="FFFFFF"/>
              <w:rPr>
                <w:sz w:val="18"/>
                <w:szCs w:val="18"/>
              </w:rPr>
            </w:pPr>
            <w:r w:rsidRPr="00175FE5">
              <w:rPr>
                <w:sz w:val="18"/>
                <w:szCs w:val="18"/>
              </w:rPr>
              <w:t>16,7</w:t>
            </w:r>
          </w:p>
        </w:tc>
        <w:tc>
          <w:tcPr>
            <w:tcW w:w="675" w:type="dxa"/>
            <w:tcBorders>
              <w:left w:val="single" w:sz="4" w:space="0" w:color="auto"/>
            </w:tcBorders>
          </w:tcPr>
          <w:p w:rsidR="004B21BE" w:rsidRPr="00175FE5" w:rsidRDefault="004B21BE" w:rsidP="00853CEA">
            <w:pPr>
              <w:shd w:val="clear" w:color="auto" w:fill="FFFFFF"/>
              <w:rPr>
                <w:sz w:val="18"/>
                <w:szCs w:val="18"/>
              </w:rPr>
            </w:pPr>
          </w:p>
          <w:p w:rsidR="004B21BE" w:rsidRPr="00175FE5" w:rsidRDefault="004B21BE" w:rsidP="00853CEA">
            <w:pPr>
              <w:shd w:val="clear" w:color="auto" w:fill="FFFFFF"/>
              <w:rPr>
                <w:sz w:val="18"/>
                <w:szCs w:val="18"/>
              </w:rPr>
            </w:pPr>
            <w:r w:rsidRPr="00175FE5">
              <w:rPr>
                <w:sz w:val="18"/>
                <w:szCs w:val="18"/>
              </w:rPr>
              <w:t>17,3</w:t>
            </w:r>
          </w:p>
        </w:tc>
        <w:tc>
          <w:tcPr>
            <w:tcW w:w="661"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9,9</w:t>
            </w:r>
          </w:p>
        </w:tc>
        <w:tc>
          <w:tcPr>
            <w:tcW w:w="685" w:type="dxa"/>
            <w:tcBorders>
              <w:lef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10,8</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0,8</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1,0</w:t>
            </w: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10,8</w:t>
            </w:r>
          </w:p>
        </w:tc>
        <w:tc>
          <w:tcPr>
            <w:tcW w:w="616" w:type="dxa"/>
            <w:tcBorders>
              <w:lef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10,0</w:t>
            </w:r>
          </w:p>
        </w:tc>
        <w:tc>
          <w:tcPr>
            <w:tcW w:w="626" w:type="dxa"/>
            <w:tcBorders>
              <w:righ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134,6</w:t>
            </w:r>
          </w:p>
        </w:tc>
        <w:tc>
          <w:tcPr>
            <w:tcW w:w="709" w:type="dxa"/>
            <w:tcBorders>
              <w:left w:val="single" w:sz="4" w:space="0" w:color="auto"/>
            </w:tcBorders>
          </w:tcPr>
          <w:p w:rsidR="004B21BE" w:rsidRPr="00175FE5" w:rsidRDefault="004B21BE" w:rsidP="00853CEA">
            <w:pPr>
              <w:shd w:val="clear" w:color="auto" w:fill="FFFFFF"/>
              <w:jc w:val="center"/>
              <w:rPr>
                <w:sz w:val="18"/>
                <w:szCs w:val="18"/>
                <w:lang w:val="en-US"/>
              </w:rPr>
            </w:pPr>
          </w:p>
          <w:p w:rsidR="004B21BE" w:rsidRPr="00175FE5" w:rsidRDefault="004B21BE" w:rsidP="00853CEA">
            <w:pPr>
              <w:shd w:val="clear" w:color="auto" w:fill="FFFFFF"/>
              <w:jc w:val="center"/>
              <w:rPr>
                <w:sz w:val="18"/>
                <w:szCs w:val="18"/>
                <w:lang w:val="en-US"/>
              </w:rPr>
            </w:pPr>
            <w:r w:rsidRPr="00175FE5">
              <w:rPr>
                <w:sz w:val="18"/>
                <w:szCs w:val="18"/>
                <w:lang w:val="en-US"/>
              </w:rPr>
              <w:t>145,6</w:t>
            </w:r>
          </w:p>
        </w:tc>
      </w:tr>
      <w:tr w:rsidR="004B21BE" w:rsidRPr="00175FE5">
        <w:tc>
          <w:tcPr>
            <w:tcW w:w="1335" w:type="dxa"/>
            <w:tcBorders>
              <w:right w:val="single" w:sz="4" w:space="0" w:color="auto"/>
            </w:tcBorders>
          </w:tcPr>
          <w:p w:rsidR="004B21BE" w:rsidRPr="00175FE5" w:rsidRDefault="004B21BE" w:rsidP="00853CEA">
            <w:pPr>
              <w:shd w:val="clear" w:color="auto" w:fill="FFFFFF"/>
              <w:rPr>
                <w:sz w:val="18"/>
                <w:szCs w:val="18"/>
              </w:rPr>
            </w:pPr>
            <w:r w:rsidRPr="00175FE5">
              <w:rPr>
                <w:sz w:val="18"/>
                <w:szCs w:val="18"/>
              </w:rPr>
              <w:t>Veiklos pelnas</w:t>
            </w:r>
          </w:p>
        </w:tc>
        <w:tc>
          <w:tcPr>
            <w:tcW w:w="66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-9,8</w:t>
            </w:r>
          </w:p>
        </w:tc>
        <w:tc>
          <w:tcPr>
            <w:tcW w:w="677"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-38,9</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-25,3</w:t>
            </w:r>
          </w:p>
        </w:tc>
        <w:tc>
          <w:tcPr>
            <w:tcW w:w="666"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-16,6</w:t>
            </w:r>
          </w:p>
        </w:tc>
        <w:tc>
          <w:tcPr>
            <w:tcW w:w="660" w:type="dxa"/>
            <w:tcBorders>
              <w:left w:val="single" w:sz="4" w:space="0" w:color="auto"/>
              <w:right w:val="single" w:sz="4" w:space="0" w:color="auto"/>
            </w:tcBorders>
          </w:tcPr>
          <w:p w:rsidR="004B21BE" w:rsidRPr="00175FE5" w:rsidRDefault="004B21BE" w:rsidP="00853CEA">
            <w:pPr>
              <w:shd w:val="clear" w:color="auto" w:fill="FFFFFF"/>
              <w:rPr>
                <w:sz w:val="18"/>
                <w:szCs w:val="18"/>
              </w:rPr>
            </w:pPr>
            <w:r w:rsidRPr="00175FE5">
              <w:rPr>
                <w:sz w:val="18"/>
                <w:szCs w:val="18"/>
              </w:rPr>
              <w:t>-19,9</w:t>
            </w:r>
          </w:p>
        </w:tc>
        <w:tc>
          <w:tcPr>
            <w:tcW w:w="675" w:type="dxa"/>
            <w:tcBorders>
              <w:left w:val="single" w:sz="4" w:space="0" w:color="auto"/>
            </w:tcBorders>
          </w:tcPr>
          <w:p w:rsidR="004B21BE" w:rsidRPr="00175FE5" w:rsidRDefault="004B21BE" w:rsidP="00853CEA">
            <w:pPr>
              <w:shd w:val="clear" w:color="auto" w:fill="FFFFFF"/>
              <w:rPr>
                <w:sz w:val="18"/>
                <w:szCs w:val="18"/>
              </w:rPr>
            </w:pPr>
            <w:r w:rsidRPr="00175FE5">
              <w:rPr>
                <w:sz w:val="18"/>
                <w:szCs w:val="18"/>
              </w:rPr>
              <w:t>-17,3</w:t>
            </w:r>
          </w:p>
        </w:tc>
        <w:tc>
          <w:tcPr>
            <w:tcW w:w="661" w:type="dxa"/>
            <w:tcBorders>
              <w:right w:val="single" w:sz="4" w:space="0" w:color="auto"/>
            </w:tcBorders>
          </w:tcPr>
          <w:p w:rsidR="004B21BE" w:rsidRPr="00175FE5" w:rsidRDefault="004B21BE" w:rsidP="00853CEA">
            <w:pPr>
              <w:shd w:val="clear" w:color="auto" w:fill="FFFFFF"/>
              <w:rPr>
                <w:sz w:val="18"/>
                <w:szCs w:val="18"/>
                <w:lang w:val="en-US"/>
              </w:rPr>
            </w:pPr>
            <w:r w:rsidRPr="00175FE5">
              <w:rPr>
                <w:sz w:val="18"/>
                <w:szCs w:val="18"/>
                <w:lang w:val="en-US"/>
              </w:rPr>
              <w:t>-15,6</w:t>
            </w:r>
          </w:p>
        </w:tc>
        <w:tc>
          <w:tcPr>
            <w:tcW w:w="685" w:type="dxa"/>
            <w:tcBorders>
              <w:left w:val="single" w:sz="4" w:space="0" w:color="auto"/>
            </w:tcBorders>
          </w:tcPr>
          <w:p w:rsidR="004B21BE" w:rsidRPr="00175FE5" w:rsidRDefault="004B21BE" w:rsidP="00853CEA">
            <w:pPr>
              <w:shd w:val="clear" w:color="auto" w:fill="FFFFFF"/>
              <w:rPr>
                <w:sz w:val="18"/>
                <w:szCs w:val="18"/>
                <w:lang w:val="en-US"/>
              </w:rPr>
            </w:pPr>
            <w:r w:rsidRPr="00175FE5">
              <w:rPr>
                <w:sz w:val="18"/>
                <w:szCs w:val="18"/>
                <w:lang w:val="en-US"/>
              </w:rPr>
              <w:t>-33,8</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-0,4</w:t>
            </w:r>
          </w:p>
        </w:tc>
        <w:tc>
          <w:tcPr>
            <w:tcW w:w="616" w:type="dxa"/>
            <w:tcBorders>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1,4</w:t>
            </w:r>
          </w:p>
        </w:tc>
        <w:tc>
          <w:tcPr>
            <w:tcW w:w="616" w:type="dxa"/>
            <w:tcBorders>
              <w:left w:val="single" w:sz="4" w:space="0" w:color="auto"/>
              <w:righ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9,6</w:t>
            </w:r>
          </w:p>
        </w:tc>
        <w:tc>
          <w:tcPr>
            <w:tcW w:w="616" w:type="dxa"/>
            <w:tcBorders>
              <w:left w:val="single" w:sz="4" w:space="0" w:color="auto"/>
            </w:tcBorders>
          </w:tcPr>
          <w:p w:rsidR="004B21BE" w:rsidRPr="00175FE5" w:rsidRDefault="004B21BE" w:rsidP="00853CEA">
            <w:pPr>
              <w:shd w:val="clear" w:color="auto" w:fill="FFFFFF"/>
              <w:jc w:val="center"/>
              <w:rPr>
                <w:sz w:val="18"/>
                <w:szCs w:val="18"/>
                <w:lang w:val="en-US"/>
              </w:rPr>
            </w:pPr>
            <w:r w:rsidRPr="00175FE5">
              <w:rPr>
                <w:sz w:val="18"/>
                <w:szCs w:val="18"/>
                <w:lang w:val="en-US"/>
              </w:rPr>
              <w:t>15,8</w:t>
            </w:r>
          </w:p>
        </w:tc>
        <w:tc>
          <w:tcPr>
            <w:tcW w:w="626" w:type="dxa"/>
            <w:tcBorders>
              <w:right w:val="single" w:sz="4" w:space="0" w:color="auto"/>
            </w:tcBorders>
          </w:tcPr>
          <w:p w:rsidR="004B21BE" w:rsidRPr="00175FE5" w:rsidRDefault="004B21BE" w:rsidP="00853CEA">
            <w:pPr>
              <w:shd w:val="clear" w:color="auto" w:fill="FFFFFF"/>
              <w:jc w:val="center"/>
              <w:rPr>
                <w:sz w:val="18"/>
                <w:szCs w:val="18"/>
              </w:rPr>
            </w:pPr>
            <w:r w:rsidRPr="00175FE5">
              <w:rPr>
                <w:sz w:val="18"/>
                <w:szCs w:val="18"/>
              </w:rPr>
              <w:t>-61,4</w:t>
            </w:r>
          </w:p>
        </w:tc>
        <w:tc>
          <w:tcPr>
            <w:tcW w:w="709" w:type="dxa"/>
            <w:tcBorders>
              <w:left w:val="single" w:sz="4" w:space="0" w:color="auto"/>
            </w:tcBorders>
          </w:tcPr>
          <w:p w:rsidR="004B21BE" w:rsidRPr="00175FE5" w:rsidRDefault="004B21BE" w:rsidP="00853CEA">
            <w:pPr>
              <w:shd w:val="clear" w:color="auto" w:fill="FFFFFF"/>
              <w:jc w:val="center"/>
              <w:rPr>
                <w:sz w:val="18"/>
                <w:szCs w:val="18"/>
              </w:rPr>
            </w:pPr>
            <w:r w:rsidRPr="00175FE5">
              <w:rPr>
                <w:sz w:val="18"/>
                <w:szCs w:val="18"/>
              </w:rPr>
              <w:t>-89,4</w:t>
            </w:r>
          </w:p>
        </w:tc>
      </w:tr>
    </w:tbl>
    <w:p w:rsidR="004B21BE" w:rsidRPr="00175FE5" w:rsidRDefault="004B21BE" w:rsidP="00853CEA">
      <w:pPr>
        <w:shd w:val="clear" w:color="auto" w:fill="FFFFFF"/>
        <w:spacing w:before="100" w:beforeAutospacing="1" w:line="360" w:lineRule="auto"/>
        <w:ind w:firstLine="902"/>
        <w:jc w:val="both"/>
      </w:pPr>
      <w:r w:rsidRPr="00175FE5">
        <w:t>Bendrovėje vienas iš svarbių kriterijų, apibūdinančių įmonės veiklą yra šalto vandens nuostoliai, kuris sudaro 53 proc. išgauto vandens kiekio. Išanalizavus vanden</w:t>
      </w:r>
      <w:r>
        <w:t>s netekimo priežastis, nustatytas</w:t>
      </w:r>
      <w:r w:rsidRPr="00175FE5">
        <w:t xml:space="preserve"> š</w:t>
      </w:r>
      <w:r>
        <w:t xml:space="preserve">ių nuostolių kriterijus - </w:t>
      </w:r>
      <w:r w:rsidRPr="00175FE5">
        <w:t>susidėvėjusios vandens trasos. Lyginant 2016</w:t>
      </w:r>
      <w:r>
        <w:t xml:space="preserve"> metus</w:t>
      </w:r>
      <w:r w:rsidRPr="00175FE5">
        <w:t xml:space="preserve"> su 2015</w:t>
      </w:r>
      <w:r>
        <w:t xml:space="preserve"> metais</w:t>
      </w:r>
      <w:r w:rsidRPr="00175FE5">
        <w:t xml:space="preserve"> – nuostolis padidėjo 1 proc. Siekiant sumažinti patiriamą nuostolį Pagėgių savivaldybės gyvenvietėse bendrovė iš savo apyvartinių lėšų keičia susidėvėjusių trasų vamzdžius, tiesia naujas vamzdynų atkarpas, vykdo prisijungimo darbus prie naujų vandentiekio ir nuotekų tinklų. Tai yra ilgalaikis ir sudėtingas procesas, reikalaujantis finansinių ir žmogiškųjų išteklių, kuriuos įgyvendinus, būtų galima pasiekti šioje srityje geresnių rezultatų.</w:t>
      </w:r>
    </w:p>
    <w:p w:rsidR="004B21BE" w:rsidRPr="00175FE5" w:rsidRDefault="004B21BE" w:rsidP="00853CEA">
      <w:pPr>
        <w:spacing w:line="360" w:lineRule="auto"/>
        <w:ind w:firstLine="900"/>
        <w:jc w:val="both"/>
      </w:pPr>
      <w:r w:rsidRPr="00175FE5">
        <w:t xml:space="preserve">2015 </w:t>
      </w:r>
      <w:r>
        <w:t>metais</w:t>
      </w:r>
      <w:r w:rsidRPr="00175FE5">
        <w:t xml:space="preserve"> Bendrovė gavo geriamojo vandens tiekimo ir nuotekų tvarkymo licenciją.</w:t>
      </w:r>
    </w:p>
    <w:p w:rsidR="004B21BE" w:rsidRPr="00175FE5" w:rsidRDefault="004B21BE" w:rsidP="00853CEA">
      <w:pPr>
        <w:spacing w:line="360" w:lineRule="auto"/>
        <w:ind w:firstLine="900"/>
        <w:jc w:val="both"/>
      </w:pPr>
      <w:r w:rsidRPr="00175FE5">
        <w:t xml:space="preserve">2016 </w:t>
      </w:r>
      <w:r>
        <w:t>metais</w:t>
      </w:r>
      <w:r w:rsidRPr="00175FE5">
        <w:t xml:space="preserve"> Bendrovė pateikė Valstybinei kainų ir energetikos kontrolės komisijai geriamojo vandens tiekimo ir nuotekų tvarkymo paslaugų bazinių kainų paskaičiavimą.</w:t>
      </w:r>
    </w:p>
    <w:p w:rsidR="004B21BE" w:rsidRPr="00175FE5" w:rsidRDefault="004B21BE" w:rsidP="00853CEA">
      <w:pPr>
        <w:pStyle w:val="Betarp"/>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Per 2016 metus</w:t>
      </w:r>
      <w:r w:rsidRPr="00175FE5">
        <w:rPr>
          <w:rFonts w:ascii="Times New Roman" w:hAnsi="Times New Roman" w:cs="Times New Roman"/>
          <w:sz w:val="24"/>
          <w:szCs w:val="24"/>
        </w:rPr>
        <w:t xml:space="preserve"> vandentiekyje likviduota buvo 136 avarijų skaičius, o kanalizacijoje – 23 avarijų skaičius. Didžiausios patirtos sąnaudos likviduojant avarijas</w:t>
      </w:r>
      <w:r>
        <w:rPr>
          <w:rFonts w:ascii="Times New Roman" w:hAnsi="Times New Roman" w:cs="Times New Roman"/>
          <w:sz w:val="24"/>
          <w:szCs w:val="24"/>
        </w:rPr>
        <w:t>,</w:t>
      </w:r>
      <w:r w:rsidRPr="00175FE5">
        <w:rPr>
          <w:rFonts w:ascii="Times New Roman" w:hAnsi="Times New Roman" w:cs="Times New Roman"/>
          <w:sz w:val="24"/>
          <w:szCs w:val="24"/>
        </w:rPr>
        <w:t xml:space="preserve"> susidarė birželio mėnesį – 1989,65 Eur. Į šią sumą įeina: Medžiagos (kaina); Kuras (kaina); DU; Sodra ir Nusidėvėjimas. Iš viso per 2016 metus sąnaudų patirta likviduojant avarijas – 8644,69 Eur.</w:t>
      </w:r>
    </w:p>
    <w:p w:rsidR="004B21BE" w:rsidRPr="00175FE5" w:rsidRDefault="004B21BE" w:rsidP="00853CEA">
      <w:pPr>
        <w:pStyle w:val="Betarp"/>
        <w:spacing w:line="360" w:lineRule="auto"/>
        <w:ind w:firstLine="900"/>
        <w:jc w:val="both"/>
        <w:rPr>
          <w:rFonts w:ascii="Times New Roman" w:hAnsi="Times New Roman" w:cs="Times New Roman"/>
          <w:sz w:val="24"/>
          <w:szCs w:val="24"/>
        </w:rPr>
      </w:pPr>
      <w:r w:rsidRPr="00175FE5">
        <w:rPr>
          <w:rFonts w:ascii="Times New Roman" w:hAnsi="Times New Roman" w:cs="Times New Roman"/>
          <w:sz w:val="24"/>
          <w:szCs w:val="24"/>
        </w:rPr>
        <w:t>Per 2016 m</w:t>
      </w:r>
      <w:r>
        <w:rPr>
          <w:rFonts w:ascii="Times New Roman" w:hAnsi="Times New Roman" w:cs="Times New Roman"/>
          <w:sz w:val="24"/>
          <w:szCs w:val="24"/>
        </w:rPr>
        <w:t>etus</w:t>
      </w:r>
      <w:r w:rsidRPr="00175FE5">
        <w:rPr>
          <w:rFonts w:ascii="Times New Roman" w:hAnsi="Times New Roman" w:cs="Times New Roman"/>
          <w:sz w:val="24"/>
          <w:szCs w:val="24"/>
        </w:rPr>
        <w:t xml:space="preserve">  buvo pakeista geriamojo vandens trasų apie 945 m, t. sk. Pagėgiuose – 55 m., Benininkuose – 29 m., Vilkyškiuose – 23 m., Lumpėnuose – 60 m., Piktupėnuose – 101 m., Kriokiškiuose – 15 m., Šilgaliuose – 52 m., Rukuose – 51 m., Natkiškiuose – 30 m., Pakamonėje – 60 m., Vėžininkuose – 236 m., Kentriuose – 25 m., Panemunėje – 9 m., Mažrimaičiuose – 55 m., Stoniškiuose – 139 m., Mažaičiuose – 5 m. Nuotekų trasų pakeista apie 60 m., t. sk. Pagėgiuose – 15 m., Šilgaliuose – 45 m.</w:t>
      </w:r>
    </w:p>
    <w:p w:rsidR="004B21BE" w:rsidRPr="00175FE5" w:rsidRDefault="004B21BE" w:rsidP="00853CEA">
      <w:pPr>
        <w:pStyle w:val="Betarp"/>
        <w:spacing w:line="360" w:lineRule="auto"/>
        <w:ind w:firstLine="902"/>
        <w:jc w:val="both"/>
        <w:rPr>
          <w:rFonts w:ascii="Times New Roman" w:hAnsi="Times New Roman" w:cs="Times New Roman"/>
          <w:b/>
          <w:bCs/>
          <w:sz w:val="24"/>
          <w:szCs w:val="24"/>
        </w:rPr>
      </w:pPr>
      <w:r w:rsidRPr="001A52E4">
        <w:rPr>
          <w:rFonts w:ascii="Times New Roman" w:hAnsi="Times New Roman" w:cs="Times New Roman"/>
          <w:b/>
          <w:bCs/>
          <w:sz w:val="24"/>
          <w:szCs w:val="24"/>
        </w:rPr>
        <w:t xml:space="preserve">Pirkėjų įsiskolinimas. </w:t>
      </w:r>
      <w:r w:rsidRPr="001A52E4">
        <w:rPr>
          <w:rFonts w:ascii="Times New Roman" w:hAnsi="Times New Roman" w:cs="Times New Roman"/>
          <w:sz w:val="24"/>
          <w:szCs w:val="24"/>
        </w:rPr>
        <w:t xml:space="preserve">2016 metais įsiskolinimas už geriamojo vandens tiekimą ir nuotekų tvarkymą sudarė 67,4 tūkst. Eur. Iš jų </w:t>
      </w:r>
      <w:r>
        <w:rPr>
          <w:rFonts w:ascii="Times New Roman" w:hAnsi="Times New Roman" w:cs="Times New Roman"/>
          <w:sz w:val="24"/>
          <w:szCs w:val="24"/>
        </w:rPr>
        <w:t xml:space="preserve">19,9 </w:t>
      </w:r>
      <w:r w:rsidRPr="001A52E4">
        <w:rPr>
          <w:rFonts w:ascii="Times New Roman" w:hAnsi="Times New Roman" w:cs="Times New Roman"/>
          <w:sz w:val="24"/>
          <w:szCs w:val="24"/>
        </w:rPr>
        <w:t>tūkst. Eur.</w:t>
      </w:r>
      <w:r>
        <w:rPr>
          <w:rFonts w:ascii="Times New Roman" w:hAnsi="Times New Roman" w:cs="Times New Roman"/>
          <w:sz w:val="24"/>
          <w:szCs w:val="24"/>
        </w:rPr>
        <w:t xml:space="preserve"> Pagėgių savivaldybės biudžetinės</w:t>
      </w:r>
      <w:r w:rsidRPr="001A52E4">
        <w:rPr>
          <w:rFonts w:ascii="Times New Roman" w:hAnsi="Times New Roman" w:cs="Times New Roman"/>
          <w:sz w:val="24"/>
          <w:szCs w:val="24"/>
        </w:rPr>
        <w:t xml:space="preserve"> įmonės,</w:t>
      </w:r>
      <w:r>
        <w:rPr>
          <w:rFonts w:ascii="Times New Roman" w:hAnsi="Times New Roman" w:cs="Times New Roman"/>
          <w:sz w:val="24"/>
          <w:szCs w:val="24"/>
        </w:rPr>
        <w:t xml:space="preserve"> kitos įmonės – 11,6 tūkst. Eur,</w:t>
      </w:r>
      <w:r w:rsidRPr="001A52E4">
        <w:rPr>
          <w:rFonts w:ascii="Times New Roman" w:hAnsi="Times New Roman" w:cs="Times New Roman"/>
          <w:sz w:val="24"/>
          <w:szCs w:val="24"/>
        </w:rPr>
        <w:t xml:space="preserve"> o gyventojai - 35,9 tūkst. Eur.  Palyginus su 2015 metais įsiskolinimas padidėjo 17,2 tūkst. Eur. </w:t>
      </w:r>
      <w:r>
        <w:rPr>
          <w:rFonts w:ascii="Times New Roman" w:hAnsi="Times New Roman" w:cs="Times New Roman"/>
          <w:sz w:val="24"/>
          <w:szCs w:val="24"/>
        </w:rPr>
        <w:t xml:space="preserve">Bendrovė </w:t>
      </w:r>
      <w:r w:rsidRPr="001A52E4">
        <w:rPr>
          <w:rFonts w:ascii="Times New Roman" w:hAnsi="Times New Roman" w:cs="Times New Roman"/>
          <w:sz w:val="24"/>
          <w:szCs w:val="24"/>
        </w:rPr>
        <w:t xml:space="preserve">2016 metais įteikė </w:t>
      </w:r>
      <w:r>
        <w:rPr>
          <w:rFonts w:ascii="Times New Roman" w:hAnsi="Times New Roman" w:cs="Times New Roman"/>
          <w:sz w:val="24"/>
          <w:szCs w:val="24"/>
        </w:rPr>
        <w:t xml:space="preserve">             </w:t>
      </w:r>
      <w:r w:rsidRPr="001A52E4">
        <w:rPr>
          <w:rFonts w:ascii="Times New Roman" w:hAnsi="Times New Roman" w:cs="Times New Roman"/>
          <w:sz w:val="24"/>
          <w:szCs w:val="24"/>
        </w:rPr>
        <w:t xml:space="preserve">97 įspėjimus, pagal kuriuos įsiskolinimas sudarė 18,431 tūkst. Eur., iš jų sumokėta – 9104 Eur. 2016 </w:t>
      </w:r>
      <w:r w:rsidRPr="001A52E4">
        <w:rPr>
          <w:rFonts w:ascii="Times New Roman" w:hAnsi="Times New Roman" w:cs="Times New Roman"/>
          <w:sz w:val="24"/>
          <w:szCs w:val="24"/>
          <w:shd w:val="clear" w:color="auto" w:fill="FFFFFF"/>
        </w:rPr>
        <w:t>metais teismui pateikti penki ieškiniai – 3099,93 Eur sumai,</w:t>
      </w:r>
      <w:r w:rsidRPr="001A52E4">
        <w:rPr>
          <w:rFonts w:ascii="Times New Roman" w:hAnsi="Times New Roman" w:cs="Times New Roman"/>
          <w:sz w:val="24"/>
          <w:szCs w:val="24"/>
        </w:rPr>
        <w:t xml:space="preserve"> sumokėta – 2372,15 Eur.</w:t>
      </w:r>
    </w:p>
    <w:p w:rsidR="004B21BE" w:rsidRPr="00175FE5" w:rsidRDefault="004B21BE" w:rsidP="00853CEA">
      <w:pPr>
        <w:numPr>
          <w:ilvl w:val="0"/>
          <w:numId w:val="4"/>
        </w:numPr>
        <w:tabs>
          <w:tab w:val="num" w:pos="1260"/>
          <w:tab w:val="left" w:pos="2400"/>
        </w:tabs>
        <w:overflowPunct/>
        <w:autoSpaceDE/>
        <w:autoSpaceDN/>
        <w:adjustRightInd/>
        <w:spacing w:line="360" w:lineRule="auto"/>
        <w:ind w:left="0" w:firstLine="902"/>
        <w:jc w:val="both"/>
        <w:rPr>
          <w:b/>
          <w:bCs/>
        </w:rPr>
      </w:pPr>
      <w:r w:rsidRPr="00175FE5">
        <w:rPr>
          <w:b/>
          <w:bCs/>
        </w:rPr>
        <w:t>UAB „Pagėgių komunalinis ūkis“ veiklos tęstinumas ir tikslai.</w:t>
      </w:r>
    </w:p>
    <w:p w:rsidR="004B21BE" w:rsidRPr="00175FE5" w:rsidRDefault="004B21BE" w:rsidP="00853CEA">
      <w:pPr>
        <w:spacing w:line="360" w:lineRule="auto"/>
        <w:ind w:firstLine="851"/>
        <w:jc w:val="both"/>
      </w:pPr>
      <w:r w:rsidRPr="00175FE5">
        <w:rPr>
          <w:b/>
          <w:bCs/>
        </w:rPr>
        <w:t>3.1</w:t>
      </w:r>
      <w:r w:rsidRPr="00175FE5">
        <w:t xml:space="preserve"> 2016 m. gruodžio 22 d. pasirašyta naujo projekto įgyvendinimo sutartis tarp projekto vykdytojo – UAB „Pagėgių komunalinis ūkis“, atstovaujamo direktoriaus Sauginto Vaičiūno ir įgyvendinančios institucijos – Lietuvos Respublikos aplinkos ministerijos Aplinkos projektų valdymo agentūros, atstovaujamo direktoriaus Ignoto Šalavėjaus.</w:t>
      </w:r>
    </w:p>
    <w:p w:rsidR="004B21BE" w:rsidRPr="00175FE5" w:rsidRDefault="004B21BE" w:rsidP="00853CEA">
      <w:pPr>
        <w:spacing w:line="360" w:lineRule="auto"/>
        <w:ind w:firstLine="851"/>
        <w:jc w:val="both"/>
      </w:pPr>
      <w:r w:rsidRPr="00175FE5">
        <w:t>Veiksmų programos priemonės, finansuojamos iš Europos sąjungos struktūrinių fondų bendrai finansuojamų lėšų pavadinimas „Geriamojo vandens tiekimo ir nuotekų tvarkymo sistemų renovavimas ir plėtra, įmonių valdymo tobulinimas“. Pagėgių krašto gerovę didinančio projekto pavadinimas „Vandens tiekimo ir nuotekų tvarkymo infrastruktūros renovavimas ir plėtra Pagėgių savivaldybėje (Natkiškiuose, Piktupėnuose)“ (Projekto Nr. . 05.3.2-APVA-R-014-71-0002). Galutinio mokėjimo prašymas turi būti pateiktas iki 2018 m. 07 mėn. 30d, tai reiškia, kad iki to laiko turi būti atlikti visi darbai.</w:t>
      </w:r>
    </w:p>
    <w:p w:rsidR="004B21BE" w:rsidRPr="00175FE5" w:rsidRDefault="004B21BE" w:rsidP="00853CEA">
      <w:pPr>
        <w:spacing w:line="360" w:lineRule="auto"/>
        <w:ind w:firstLine="851"/>
        <w:jc w:val="both"/>
        <w:rPr>
          <w:lang w:val="en-US"/>
        </w:rPr>
      </w:pPr>
      <w:r w:rsidRPr="00175FE5">
        <w:rPr>
          <w:lang w:val="en-US"/>
        </w:rPr>
        <w:t>Visa projekto vertė yra 617.660,84 Eur. Iš Europos Sąjungos yra skiriama 355.275,04 Eur. Savivaldybė kofinansuoja projektą didžiule 262.385,85 eurų suma. Šios lėšos yra būtina sąlyga projekto įgyvendinimui.</w:t>
      </w:r>
    </w:p>
    <w:p w:rsidR="004B21BE" w:rsidRPr="00175FE5" w:rsidRDefault="004B21BE" w:rsidP="00853CEA">
      <w:pPr>
        <w:spacing w:line="360" w:lineRule="auto"/>
        <w:ind w:firstLine="851"/>
        <w:jc w:val="both"/>
      </w:pPr>
      <w:r w:rsidRPr="00175FE5">
        <w:rPr>
          <w:lang w:val="en-US"/>
        </w:rPr>
        <w:t xml:space="preserve">Įgyvendinant projektą numatoma rekonstruoti 2 nuotekų valymo įrenginius - Natkiškių kaime ir Piktupėnų gyvenvietėje. Taip pat ketinama lygiagrečiai nutiesti 1,521 km nuotekų ir 0,441 km vandentiekio tinklų bei rekonstruoti 3,0 km nuotekų tinklų Natkiškių kaime, sudarant galimybę prie centralizuoto vandens tiekimo prisijungti 44 būstams (92 gyv.), prie nuotekų surinkimo tinklų - 29 būstams (60 gyv.), pagerinant nuotekų paslaugų kokybę, rekonstravus nuotekų surinkimo tinklus Natkiškiuose - 95 būstams (199 gyv.). Rekonstravus Natkiškių nuotekų valymo įrenginius - pagerintą nuotekų tvarkymo paslaugų gaunančių gyventojų skaičius sudarys - 151 būstas (318 gyv.), o rekonstravus Piktupėnų </w:t>
      </w:r>
      <w:r w:rsidRPr="00175FE5">
        <w:t>nuotekų valymo įrenginius - pagerintą nuotekų tvarkymo paslaugų gaunančių gyventojų skaičius sudarys - 42 būstai (88 gyv.)</w:t>
      </w:r>
    </w:p>
    <w:p w:rsidR="004B21BE" w:rsidRPr="00175FE5" w:rsidRDefault="004B21BE" w:rsidP="00853CEA">
      <w:pPr>
        <w:pStyle w:val="Betarp"/>
        <w:spacing w:line="360" w:lineRule="auto"/>
        <w:ind w:firstLine="900"/>
        <w:jc w:val="both"/>
        <w:rPr>
          <w:rFonts w:ascii="Times New Roman" w:hAnsi="Times New Roman" w:cs="Times New Roman"/>
          <w:sz w:val="24"/>
          <w:szCs w:val="24"/>
        </w:rPr>
      </w:pPr>
      <w:r w:rsidRPr="00175FE5">
        <w:rPr>
          <w:rFonts w:ascii="Times New Roman" w:hAnsi="Times New Roman" w:cs="Times New Roman"/>
          <w:sz w:val="24"/>
          <w:szCs w:val="24"/>
        </w:rPr>
        <w:t>Po pasirašytos finansavimo adm</w:t>
      </w:r>
      <w:r>
        <w:rPr>
          <w:rFonts w:ascii="Times New Roman" w:hAnsi="Times New Roman" w:cs="Times New Roman"/>
          <w:sz w:val="24"/>
          <w:szCs w:val="24"/>
        </w:rPr>
        <w:t>inistravimo sutarties 2016 metų gruodžio 22 d.</w:t>
      </w:r>
      <w:r w:rsidRPr="00175FE5">
        <w:rPr>
          <w:rFonts w:ascii="Times New Roman" w:hAnsi="Times New Roman" w:cs="Times New Roman"/>
          <w:sz w:val="24"/>
          <w:szCs w:val="24"/>
        </w:rPr>
        <w:t xml:space="preserve"> dieną buvo pateiktas pirmas (avansinis) mokėjimo prašymas sumai 67.598,48 Eur. </w:t>
      </w:r>
    </w:p>
    <w:p w:rsidR="004B21BE" w:rsidRPr="00175FE5" w:rsidRDefault="004B21BE" w:rsidP="00853CEA">
      <w:pPr>
        <w:pStyle w:val="Betarp"/>
        <w:spacing w:line="360" w:lineRule="auto"/>
        <w:rPr>
          <w:rFonts w:ascii="Times New Roman" w:hAnsi="Times New Roman" w:cs="Times New Roman"/>
          <w:b/>
          <w:bCs/>
          <w:sz w:val="24"/>
          <w:szCs w:val="24"/>
        </w:rPr>
      </w:pPr>
      <w:r w:rsidRPr="00175FE5">
        <w:rPr>
          <w:rFonts w:ascii="Times New Roman" w:hAnsi="Times New Roman" w:cs="Times New Roman"/>
          <w:b/>
          <w:bCs/>
          <w:sz w:val="24"/>
          <w:szCs w:val="24"/>
        </w:rPr>
        <w:t xml:space="preserve">         </w:t>
      </w:r>
    </w:p>
    <w:p w:rsidR="004B21BE" w:rsidRPr="00175FE5" w:rsidRDefault="004B21BE" w:rsidP="00853CEA">
      <w:pPr>
        <w:pStyle w:val="Betarp"/>
        <w:spacing w:before="100" w:beforeAutospacing="1" w:after="100" w:afterAutospacing="1" w:line="360" w:lineRule="auto"/>
        <w:jc w:val="center"/>
        <w:rPr>
          <w:rFonts w:ascii="Times New Roman" w:hAnsi="Times New Roman" w:cs="Times New Roman"/>
          <w:b/>
          <w:bCs/>
          <w:sz w:val="24"/>
          <w:szCs w:val="24"/>
        </w:rPr>
      </w:pPr>
      <w:r w:rsidRPr="00175FE5">
        <w:rPr>
          <w:rFonts w:ascii="Times New Roman" w:hAnsi="Times New Roman" w:cs="Times New Roman"/>
          <w:b/>
          <w:bCs/>
          <w:sz w:val="24"/>
          <w:szCs w:val="24"/>
        </w:rPr>
        <w:t>4.  UAB „Pagėgių komunalinis ūkis“ tikrintų institucijų išvados bei pasiūlymai.</w:t>
      </w:r>
    </w:p>
    <w:p w:rsidR="004B21BE" w:rsidRPr="00175FE5" w:rsidRDefault="004B21BE" w:rsidP="00853CEA">
      <w:pPr>
        <w:pStyle w:val="Betarp"/>
        <w:keepNext/>
        <w:keepLines/>
        <w:spacing w:line="360" w:lineRule="auto"/>
        <w:jc w:val="both"/>
        <w:rPr>
          <w:rFonts w:ascii="Times New Roman" w:hAnsi="Times New Roman" w:cs="Times New Roman"/>
          <w:sz w:val="24"/>
          <w:szCs w:val="24"/>
        </w:rPr>
      </w:pPr>
      <w:r w:rsidRPr="00175FE5">
        <w:rPr>
          <w:rFonts w:ascii="Times New Roman" w:hAnsi="Times New Roman" w:cs="Times New Roman"/>
          <w:sz w:val="24"/>
          <w:szCs w:val="24"/>
        </w:rPr>
        <w:t>Ataskaitiniais metais bendrovės veiklą tikrino:</w:t>
      </w:r>
    </w:p>
    <w:p w:rsidR="004B21BE" w:rsidRPr="00175FE5" w:rsidRDefault="004B21BE" w:rsidP="00853CEA">
      <w:pPr>
        <w:pStyle w:val="Betarp"/>
        <w:keepNext/>
        <w:keepLines/>
        <w:numPr>
          <w:ilvl w:val="1"/>
          <w:numId w:val="4"/>
        </w:numPr>
        <w:tabs>
          <w:tab w:val="clear" w:pos="1440"/>
          <w:tab w:val="num" w:pos="900"/>
        </w:tabs>
        <w:spacing w:line="360" w:lineRule="auto"/>
        <w:ind w:left="896" w:hanging="539"/>
        <w:jc w:val="both"/>
        <w:rPr>
          <w:rFonts w:ascii="Times New Roman" w:hAnsi="Times New Roman" w:cs="Times New Roman"/>
          <w:sz w:val="24"/>
          <w:szCs w:val="24"/>
        </w:rPr>
      </w:pPr>
      <w:r w:rsidRPr="00175FE5">
        <w:rPr>
          <w:rFonts w:ascii="Times New Roman" w:hAnsi="Times New Roman" w:cs="Times New Roman"/>
          <w:sz w:val="24"/>
          <w:szCs w:val="24"/>
        </w:rPr>
        <w:t>Klaipėdos regiono aplinkos apsaugos departamento, Pagėgių rajono agentūra. Buvo atlikti aplinkos apsaugos patikrinimai Šilgalių, Stoniškių, Natkiškių, Pagėgių, Piktupėnų, Lumpėnų, Vilkyškių nuotekų išleistuvuose.</w:t>
      </w:r>
    </w:p>
    <w:p w:rsidR="004B21BE" w:rsidRPr="00175FE5" w:rsidRDefault="004B21BE" w:rsidP="00853CEA">
      <w:pPr>
        <w:pStyle w:val="Betarp"/>
        <w:numPr>
          <w:ilvl w:val="1"/>
          <w:numId w:val="4"/>
        </w:numPr>
        <w:tabs>
          <w:tab w:val="clear" w:pos="1440"/>
          <w:tab w:val="num" w:pos="900"/>
        </w:tabs>
        <w:spacing w:line="360" w:lineRule="auto"/>
        <w:ind w:left="896" w:hanging="539"/>
        <w:jc w:val="both"/>
        <w:rPr>
          <w:rFonts w:ascii="Times New Roman" w:hAnsi="Times New Roman" w:cs="Times New Roman"/>
          <w:sz w:val="24"/>
          <w:szCs w:val="24"/>
        </w:rPr>
      </w:pPr>
      <w:r w:rsidRPr="00175FE5">
        <w:rPr>
          <w:rFonts w:ascii="Times New Roman" w:hAnsi="Times New Roman" w:cs="Times New Roman"/>
          <w:sz w:val="24"/>
          <w:szCs w:val="24"/>
        </w:rPr>
        <w:t>Aplinkos apsaugos agentūra, Klaipėdos Jūrinių tyrimų departamentas atliko patikrinimą išleidžiamų teršalų į gamtinę aplinką srityje. Išvados – Liepos m. Pagėgių nuotekų valykloje paimtame mėginyje rastas viršijimas.</w:t>
      </w:r>
    </w:p>
    <w:p w:rsidR="004B21BE" w:rsidRPr="00175FE5" w:rsidRDefault="004B21BE" w:rsidP="00853CEA">
      <w:pPr>
        <w:pStyle w:val="Betarp"/>
        <w:numPr>
          <w:ilvl w:val="1"/>
          <w:numId w:val="4"/>
        </w:numPr>
        <w:tabs>
          <w:tab w:val="clear" w:pos="1440"/>
          <w:tab w:val="num" w:pos="900"/>
        </w:tabs>
        <w:spacing w:line="360" w:lineRule="auto"/>
        <w:ind w:left="896" w:hanging="539"/>
        <w:jc w:val="both"/>
        <w:rPr>
          <w:rFonts w:ascii="Times New Roman" w:hAnsi="Times New Roman" w:cs="Times New Roman"/>
          <w:sz w:val="24"/>
          <w:szCs w:val="24"/>
        </w:rPr>
      </w:pPr>
      <w:r w:rsidRPr="00175FE5">
        <w:rPr>
          <w:rFonts w:ascii="Times New Roman" w:hAnsi="Times New Roman" w:cs="Times New Roman"/>
          <w:sz w:val="24"/>
          <w:szCs w:val="24"/>
        </w:rPr>
        <w:t>Pagėgių Pasienio veterinarijos postas (poskyris) tikrino vandenviečių būklę ir vandens kokybę. Pastabų negauta, dėl užterštumo patenkame į mažos rizikos grupę.</w:t>
      </w:r>
    </w:p>
    <w:p w:rsidR="004B21BE" w:rsidRPr="00175FE5" w:rsidRDefault="004B21BE" w:rsidP="00853CEA">
      <w:pPr>
        <w:pStyle w:val="Betarp"/>
        <w:numPr>
          <w:ilvl w:val="1"/>
          <w:numId w:val="4"/>
        </w:numPr>
        <w:tabs>
          <w:tab w:val="clear" w:pos="1440"/>
          <w:tab w:val="num" w:pos="900"/>
        </w:tabs>
        <w:spacing w:line="360" w:lineRule="auto"/>
        <w:ind w:left="896" w:hanging="539"/>
        <w:jc w:val="both"/>
        <w:rPr>
          <w:rFonts w:ascii="Times New Roman" w:hAnsi="Times New Roman" w:cs="Times New Roman"/>
          <w:sz w:val="24"/>
          <w:szCs w:val="24"/>
        </w:rPr>
      </w:pPr>
      <w:r w:rsidRPr="00175FE5">
        <w:rPr>
          <w:rFonts w:ascii="Times New Roman" w:hAnsi="Times New Roman" w:cs="Times New Roman"/>
          <w:sz w:val="24"/>
          <w:szCs w:val="24"/>
        </w:rPr>
        <w:t>Lietuvos metrologijos inspekcija, Tauragės apskrities skyrius tikrino vandens ir šilumos skaitiklių patikrą. Išvada- pastabų negauta.</w:t>
      </w:r>
    </w:p>
    <w:p w:rsidR="004B21BE" w:rsidRPr="00175FE5" w:rsidRDefault="004B21BE" w:rsidP="00853CEA">
      <w:pPr>
        <w:tabs>
          <w:tab w:val="num" w:pos="1260"/>
          <w:tab w:val="left" w:pos="2400"/>
        </w:tabs>
        <w:spacing w:before="100" w:beforeAutospacing="1" w:line="360" w:lineRule="auto"/>
        <w:ind w:left="902"/>
        <w:jc w:val="both"/>
        <w:rPr>
          <w:b/>
          <w:bCs/>
        </w:rPr>
      </w:pPr>
      <w:r w:rsidRPr="00175FE5">
        <w:rPr>
          <w:b/>
          <w:bCs/>
        </w:rPr>
        <w:t>5.  UAB „Pagėgių komunalinis ūkis“ pagrindinės problemos.</w:t>
      </w:r>
    </w:p>
    <w:p w:rsidR="004B21BE" w:rsidRPr="00175FE5" w:rsidRDefault="004B21BE" w:rsidP="00853CEA">
      <w:pPr>
        <w:tabs>
          <w:tab w:val="left" w:pos="2400"/>
        </w:tabs>
        <w:spacing w:line="360" w:lineRule="auto"/>
        <w:jc w:val="both"/>
      </w:pPr>
      <w:r w:rsidRPr="00175FE5">
        <w:t>Pagrindinės problemos, turinčios įtaką bendrovės rezultatams:</w:t>
      </w:r>
    </w:p>
    <w:p w:rsidR="004B21BE" w:rsidRPr="00175FE5" w:rsidRDefault="004B21BE" w:rsidP="00853CEA">
      <w:pPr>
        <w:numPr>
          <w:ilvl w:val="0"/>
          <w:numId w:val="5"/>
        </w:numPr>
        <w:tabs>
          <w:tab w:val="clear" w:pos="1620"/>
          <w:tab w:val="num" w:pos="1440"/>
          <w:tab w:val="left" w:pos="2400"/>
        </w:tabs>
        <w:overflowPunct/>
        <w:autoSpaceDE/>
        <w:autoSpaceDN/>
        <w:adjustRightInd/>
        <w:spacing w:line="360" w:lineRule="auto"/>
        <w:ind w:left="1440" w:hanging="540"/>
        <w:jc w:val="both"/>
      </w:pPr>
      <w:r>
        <w:t>Gyventojams sudarytos sąlygos jungtis prie naujai paklotų centralizuotų vandentiekio ir nuotekų tinklų, tačiau ne visi jungiasi.</w:t>
      </w:r>
    </w:p>
    <w:p w:rsidR="004B21BE" w:rsidRPr="00175FE5" w:rsidRDefault="004B21BE" w:rsidP="00853CEA">
      <w:pPr>
        <w:numPr>
          <w:ilvl w:val="0"/>
          <w:numId w:val="5"/>
        </w:numPr>
        <w:tabs>
          <w:tab w:val="clear" w:pos="1620"/>
          <w:tab w:val="num" w:pos="1440"/>
          <w:tab w:val="left" w:pos="2400"/>
        </w:tabs>
        <w:overflowPunct/>
        <w:autoSpaceDE/>
        <w:autoSpaceDN/>
        <w:adjustRightInd/>
        <w:spacing w:line="360" w:lineRule="auto"/>
        <w:ind w:left="1440" w:hanging="540"/>
        <w:jc w:val="both"/>
      </w:pPr>
      <w:r w:rsidRPr="00175FE5">
        <w:t>Siekiame perimti</w:t>
      </w:r>
      <w:r>
        <w:t xml:space="preserve"> šias</w:t>
      </w:r>
      <w:r w:rsidRPr="00175FE5">
        <w:t xml:space="preserve"> naujas</w:t>
      </w:r>
      <w:r>
        <w:t xml:space="preserve"> veiklas:</w:t>
      </w:r>
    </w:p>
    <w:p w:rsidR="004B21BE" w:rsidRDefault="004B21BE" w:rsidP="00853CEA">
      <w:pPr>
        <w:tabs>
          <w:tab w:val="left" w:pos="2400"/>
        </w:tabs>
        <w:spacing w:line="360" w:lineRule="auto"/>
        <w:jc w:val="both"/>
      </w:pPr>
      <w:r>
        <w:t xml:space="preserve">                       -</w:t>
      </w:r>
      <w:r w:rsidRPr="00175FE5">
        <w:t>Pagėgių savivaldybės pastatų, P</w:t>
      </w:r>
      <w:r>
        <w:t xml:space="preserve">agėgių mieste, prijungimas prie </w:t>
      </w:r>
      <w:r w:rsidRPr="00175FE5">
        <w:t>UAB „Pagėgių komunalinis ūkis“ centralizuotos šilumos tinklų.</w:t>
      </w:r>
    </w:p>
    <w:p w:rsidR="004B21BE" w:rsidRDefault="004B21BE" w:rsidP="00853CEA">
      <w:pPr>
        <w:tabs>
          <w:tab w:val="left" w:pos="2400"/>
        </w:tabs>
        <w:spacing w:line="360" w:lineRule="auto"/>
        <w:jc w:val="both"/>
      </w:pPr>
      <w:r>
        <w:t xml:space="preserve">                       -Pagėgių savivaldybės švietimo ir paslaugų įmonių šilumos tiekimo katilinių eksploatacija ir priežiūra.</w:t>
      </w:r>
    </w:p>
    <w:p w:rsidR="004B21BE" w:rsidRPr="00175FE5" w:rsidRDefault="004B21BE" w:rsidP="00853CEA">
      <w:pPr>
        <w:tabs>
          <w:tab w:val="left" w:pos="2400"/>
        </w:tabs>
        <w:spacing w:line="360" w:lineRule="auto"/>
        <w:jc w:val="both"/>
      </w:pPr>
      <w:r>
        <w:t xml:space="preserve">                       - Pagėgių savivaldybės švietimo ir paslaugų įmonių elektros ūkio eksploatacija ir priežiūra.</w:t>
      </w:r>
    </w:p>
    <w:p w:rsidR="004B21BE" w:rsidRPr="001A52E4" w:rsidRDefault="004B21BE" w:rsidP="00853CEA">
      <w:pPr>
        <w:numPr>
          <w:ilvl w:val="1"/>
          <w:numId w:val="5"/>
        </w:numPr>
        <w:tabs>
          <w:tab w:val="left" w:pos="2400"/>
        </w:tabs>
        <w:overflowPunct/>
        <w:autoSpaceDE/>
        <w:autoSpaceDN/>
        <w:adjustRightInd/>
        <w:spacing w:line="360" w:lineRule="auto"/>
        <w:jc w:val="both"/>
      </w:pPr>
      <w:r w:rsidRPr="00175FE5">
        <w:t xml:space="preserve">                  </w:t>
      </w:r>
      <w:r>
        <w:t xml:space="preserve">- </w:t>
      </w:r>
      <w:r w:rsidRPr="001A52E4">
        <w:t>Paviršinių ir lietaus vandens tinklų priežiūra, kurių ilgis 884,35 m.</w:t>
      </w:r>
    </w:p>
    <w:p w:rsidR="004B21BE" w:rsidRDefault="004B21BE" w:rsidP="00853CEA">
      <w:pPr>
        <w:tabs>
          <w:tab w:val="left" w:pos="1440"/>
        </w:tabs>
        <w:spacing w:line="360" w:lineRule="auto"/>
        <w:jc w:val="both"/>
      </w:pPr>
      <w:r>
        <w:t xml:space="preserve">              </w:t>
      </w:r>
      <w:r w:rsidRPr="002B071E">
        <w:t>3.</w:t>
      </w:r>
      <w:r>
        <w:t xml:space="preserve">  Pagėgių savivaldybės biudžetinių įmonių įsiskolinimai, kurie sudaro                19,9 tūkst. Eur., kitos įmonės – 11,6 tūkst. Eur., gyventojai – 35,9 tūkst. Eur.</w:t>
      </w:r>
    </w:p>
    <w:p w:rsidR="004B21BE" w:rsidRPr="00175FE5" w:rsidRDefault="004B21BE" w:rsidP="00853CEA">
      <w:pPr>
        <w:tabs>
          <w:tab w:val="left" w:pos="1440"/>
        </w:tabs>
        <w:spacing w:line="360" w:lineRule="auto"/>
        <w:jc w:val="both"/>
      </w:pPr>
      <w:r>
        <w:t xml:space="preserve">              4.    Šalto vandens nuostoliai, kurie sudaro 53 proc. išgauto vandens kiekio dė</w:t>
      </w:r>
      <w:r w:rsidRPr="002B071E">
        <w:t xml:space="preserve">l </w:t>
      </w:r>
      <w:r>
        <w:t>pasenusių trasų</w:t>
      </w:r>
      <w:r w:rsidRPr="002B071E">
        <w:t xml:space="preserve"> ir vandens grobstymo</w:t>
      </w:r>
      <w:r>
        <w:t>.</w:t>
      </w:r>
    </w:p>
    <w:p w:rsidR="004B21BE" w:rsidRDefault="004B21BE" w:rsidP="00853CEA">
      <w:pPr>
        <w:tabs>
          <w:tab w:val="num" w:pos="1260"/>
          <w:tab w:val="left" w:pos="2400"/>
        </w:tabs>
        <w:spacing w:before="100" w:beforeAutospacing="1" w:after="100" w:afterAutospacing="1"/>
        <w:ind w:firstLine="851"/>
        <w:jc w:val="both"/>
        <w:rPr>
          <w:b/>
          <w:bCs/>
        </w:rPr>
      </w:pPr>
    </w:p>
    <w:p w:rsidR="004B21BE" w:rsidRDefault="004B21BE" w:rsidP="00853CEA">
      <w:pPr>
        <w:tabs>
          <w:tab w:val="num" w:pos="1260"/>
          <w:tab w:val="left" w:pos="2400"/>
        </w:tabs>
        <w:spacing w:before="100" w:beforeAutospacing="1" w:after="100" w:afterAutospacing="1"/>
        <w:ind w:firstLine="851"/>
        <w:jc w:val="both"/>
        <w:rPr>
          <w:b/>
          <w:bCs/>
        </w:rPr>
      </w:pPr>
    </w:p>
    <w:p w:rsidR="004B21BE" w:rsidRPr="00175FE5" w:rsidRDefault="004B21BE" w:rsidP="00853CEA">
      <w:pPr>
        <w:tabs>
          <w:tab w:val="num" w:pos="1260"/>
          <w:tab w:val="left" w:pos="2400"/>
        </w:tabs>
        <w:spacing w:before="100" w:beforeAutospacing="1" w:after="100" w:afterAutospacing="1"/>
        <w:ind w:firstLine="851"/>
        <w:jc w:val="both"/>
        <w:rPr>
          <w:b/>
          <w:bCs/>
        </w:rPr>
      </w:pPr>
      <w:r w:rsidRPr="00175FE5">
        <w:rPr>
          <w:b/>
          <w:bCs/>
        </w:rPr>
        <w:t>6. UAB „Pagėgių komunalinis ūkis“ numatomi darbai įgyvendinant</w:t>
      </w:r>
      <w:r>
        <w:rPr>
          <w:b/>
          <w:bCs/>
        </w:rPr>
        <w:t xml:space="preserve">             2016 -  2018 metų </w:t>
      </w:r>
      <w:r w:rsidRPr="00175FE5">
        <w:rPr>
          <w:b/>
          <w:bCs/>
        </w:rPr>
        <w:t xml:space="preserve"> šilumos ūkio infrastruktūros plėtros planą </w:t>
      </w:r>
    </w:p>
    <w:p w:rsidR="004B21BE" w:rsidRPr="00175FE5" w:rsidRDefault="004B21BE" w:rsidP="00853CEA">
      <w:pPr>
        <w:tabs>
          <w:tab w:val="num" w:pos="1260"/>
          <w:tab w:val="left" w:pos="2400"/>
        </w:tabs>
        <w:spacing w:line="360" w:lineRule="auto"/>
        <w:ind w:firstLine="851"/>
        <w:jc w:val="both"/>
      </w:pPr>
      <w:r>
        <w:t>1</w:t>
      </w:r>
      <w:r w:rsidRPr="00175FE5">
        <w:t>. Automatinio valdymo cirkuliacinių siurblių įsigijimas.</w:t>
      </w:r>
    </w:p>
    <w:p w:rsidR="004B21BE" w:rsidRPr="00175FE5" w:rsidRDefault="004B21BE" w:rsidP="00853CEA">
      <w:pPr>
        <w:tabs>
          <w:tab w:val="num" w:pos="1260"/>
          <w:tab w:val="left" w:pos="2400"/>
        </w:tabs>
        <w:spacing w:line="360" w:lineRule="auto"/>
        <w:ind w:firstLine="851"/>
        <w:jc w:val="both"/>
      </w:pPr>
      <w:r>
        <w:t>2</w:t>
      </w:r>
      <w:r w:rsidRPr="00175FE5">
        <w:t>. Šilumos tinklų rekonstrukcija nuo Vilniaus g. 25 A iki Vilniaus g. 17.</w:t>
      </w:r>
    </w:p>
    <w:p w:rsidR="004B21BE" w:rsidRPr="00175FE5" w:rsidRDefault="004B21BE" w:rsidP="00853CEA">
      <w:pPr>
        <w:tabs>
          <w:tab w:val="num" w:pos="1260"/>
          <w:tab w:val="left" w:pos="2400"/>
        </w:tabs>
        <w:spacing w:line="360" w:lineRule="auto"/>
        <w:ind w:firstLine="851"/>
        <w:jc w:val="both"/>
      </w:pPr>
      <w:r>
        <w:t>3</w:t>
      </w:r>
      <w:r w:rsidRPr="00175FE5">
        <w:t>. Šilumos tinklų rekonstrukcija nuo Vilniaus g. 17 iki Jaunimo g. 3.</w:t>
      </w:r>
    </w:p>
    <w:p w:rsidR="004B21BE" w:rsidRPr="00175FE5" w:rsidRDefault="004B21BE" w:rsidP="00853CEA">
      <w:pPr>
        <w:tabs>
          <w:tab w:val="num" w:pos="1260"/>
          <w:tab w:val="left" w:pos="2400"/>
        </w:tabs>
        <w:spacing w:line="360" w:lineRule="auto"/>
        <w:ind w:firstLine="851"/>
        <w:jc w:val="both"/>
      </w:pPr>
      <w:r>
        <w:t>4</w:t>
      </w:r>
      <w:r w:rsidRPr="00175FE5">
        <w:t>. Šilumos tinklų įvadų rekonstrukcija.</w:t>
      </w:r>
    </w:p>
    <w:p w:rsidR="004B21BE" w:rsidRPr="00175FE5" w:rsidRDefault="004B21BE" w:rsidP="00853CEA">
      <w:pPr>
        <w:tabs>
          <w:tab w:val="num" w:pos="1260"/>
          <w:tab w:val="left" w:pos="2400"/>
        </w:tabs>
        <w:spacing w:line="360" w:lineRule="auto"/>
        <w:ind w:firstLine="851"/>
        <w:jc w:val="both"/>
      </w:pPr>
      <w:r w:rsidRPr="00175FE5">
        <w:t>Įgyvendinant šilumos ūkio infrastruktūros plėtros planą 2016 – 2018 m. siekiama:</w:t>
      </w:r>
    </w:p>
    <w:p w:rsidR="004B21BE" w:rsidRPr="00175FE5" w:rsidRDefault="004B21BE" w:rsidP="00853CEA">
      <w:pPr>
        <w:tabs>
          <w:tab w:val="num" w:pos="1260"/>
          <w:tab w:val="left" w:pos="2400"/>
        </w:tabs>
        <w:spacing w:line="360" w:lineRule="auto"/>
        <w:jc w:val="both"/>
      </w:pPr>
      <w:r w:rsidRPr="00175FE5">
        <w:t xml:space="preserve">               - sumažinti eksploatacijos išlaidas;</w:t>
      </w:r>
    </w:p>
    <w:p w:rsidR="004B21BE" w:rsidRPr="00175FE5" w:rsidRDefault="004B21BE" w:rsidP="00853CEA">
      <w:pPr>
        <w:tabs>
          <w:tab w:val="num" w:pos="1260"/>
          <w:tab w:val="left" w:pos="2400"/>
        </w:tabs>
        <w:spacing w:line="360" w:lineRule="auto"/>
        <w:ind w:firstLine="851"/>
        <w:jc w:val="both"/>
      </w:pPr>
      <w:r w:rsidRPr="00175FE5">
        <w:t>- automatizuoti ir efektyvinti katilinės darbą;</w:t>
      </w:r>
    </w:p>
    <w:p w:rsidR="004B21BE" w:rsidRPr="00175FE5" w:rsidRDefault="004B21BE" w:rsidP="00853CEA">
      <w:pPr>
        <w:tabs>
          <w:tab w:val="num" w:pos="1260"/>
          <w:tab w:val="left" w:pos="2400"/>
        </w:tabs>
        <w:spacing w:line="360" w:lineRule="auto"/>
        <w:ind w:firstLine="851"/>
        <w:jc w:val="both"/>
      </w:pPr>
      <w:r w:rsidRPr="00175FE5">
        <w:t>- sumažinti šilumos nuostolius;</w:t>
      </w:r>
    </w:p>
    <w:p w:rsidR="004B21BE" w:rsidRPr="00175FE5" w:rsidRDefault="004B21BE" w:rsidP="00853CEA">
      <w:pPr>
        <w:tabs>
          <w:tab w:val="num" w:pos="1260"/>
          <w:tab w:val="left" w:pos="2400"/>
        </w:tabs>
        <w:spacing w:line="360" w:lineRule="auto"/>
        <w:ind w:firstLine="851"/>
        <w:jc w:val="both"/>
      </w:pPr>
      <w:r w:rsidRPr="00175FE5">
        <w:t>- pagerinti šilumos tiekimo kokybę;</w:t>
      </w:r>
    </w:p>
    <w:p w:rsidR="004B21BE" w:rsidRPr="00EA78EA" w:rsidRDefault="004B21BE" w:rsidP="00853CEA">
      <w:pPr>
        <w:tabs>
          <w:tab w:val="num" w:pos="1260"/>
          <w:tab w:val="left" w:pos="2400"/>
        </w:tabs>
        <w:spacing w:line="360" w:lineRule="auto"/>
        <w:ind w:firstLine="851"/>
        <w:jc w:val="both"/>
      </w:pPr>
      <w:r w:rsidRPr="00175FE5">
        <w:t>- pagerinti šilumos tiekimą.</w:t>
      </w:r>
    </w:p>
    <w:p w:rsidR="004B21BE" w:rsidRPr="00175FE5" w:rsidRDefault="004B21BE" w:rsidP="00853CEA">
      <w:pPr>
        <w:pStyle w:val="Betarp"/>
        <w:spacing w:before="100" w:beforeAutospacing="1" w:after="100" w:afterAutospacing="1" w:line="360" w:lineRule="auto"/>
        <w:rPr>
          <w:rFonts w:ascii="Times New Roman" w:hAnsi="Times New Roman" w:cs="Times New Roman"/>
          <w:b/>
          <w:bCs/>
          <w:sz w:val="24"/>
          <w:szCs w:val="24"/>
        </w:rPr>
      </w:pPr>
      <w:r w:rsidRPr="00175FE5">
        <w:rPr>
          <w:rFonts w:ascii="Times New Roman" w:hAnsi="Times New Roman" w:cs="Times New Roman"/>
          <w:b/>
          <w:bCs/>
          <w:sz w:val="24"/>
          <w:szCs w:val="24"/>
        </w:rPr>
        <w:t xml:space="preserve">7. UAB „Pagėgių komunalinis ūkis“ numatomi darbai įgyvendinant 2015 – 2018 </w:t>
      </w:r>
      <w:r>
        <w:rPr>
          <w:rFonts w:ascii="Times New Roman" w:hAnsi="Times New Roman" w:cs="Times New Roman"/>
          <w:b/>
          <w:bCs/>
          <w:sz w:val="24"/>
          <w:szCs w:val="24"/>
        </w:rPr>
        <w:t xml:space="preserve">metų </w:t>
      </w:r>
      <w:r w:rsidRPr="00175FE5">
        <w:rPr>
          <w:rFonts w:ascii="Times New Roman" w:hAnsi="Times New Roman" w:cs="Times New Roman"/>
          <w:b/>
          <w:bCs/>
          <w:sz w:val="24"/>
          <w:szCs w:val="24"/>
        </w:rPr>
        <w:t>veiklos planą</w:t>
      </w:r>
    </w:p>
    <w:p w:rsidR="004B21BE" w:rsidRPr="00175FE5" w:rsidRDefault="004B21BE" w:rsidP="00853CEA">
      <w:pPr>
        <w:pStyle w:val="Betarp"/>
        <w:spacing w:line="360" w:lineRule="auto"/>
        <w:jc w:val="both"/>
        <w:rPr>
          <w:rFonts w:ascii="Times New Roman" w:hAnsi="Times New Roman" w:cs="Times New Roman"/>
          <w:sz w:val="24"/>
          <w:szCs w:val="24"/>
        </w:rPr>
      </w:pPr>
      <w:r w:rsidRPr="00175FE5">
        <w:rPr>
          <w:rFonts w:ascii="Times New Roman" w:hAnsi="Times New Roman" w:cs="Times New Roman"/>
          <w:sz w:val="24"/>
          <w:szCs w:val="24"/>
        </w:rPr>
        <w:t xml:space="preserve">               1. Planuojama apie 0,5 km vandentiekio ir nuotekų tinklų plėtra 65,00 tūkst. Eur. Suteiks galimybę prisijungti naujiems vartotojams;</w:t>
      </w:r>
    </w:p>
    <w:p w:rsidR="004B21BE" w:rsidRPr="00175FE5" w:rsidRDefault="004B21BE" w:rsidP="00853CEA">
      <w:pPr>
        <w:spacing w:line="360" w:lineRule="auto"/>
        <w:ind w:firstLine="902"/>
        <w:jc w:val="both"/>
      </w:pPr>
      <w:r w:rsidRPr="00175FE5">
        <w:t xml:space="preserve">2. Natkiškiuose išplėsti vandens tiekimo infrastruktūrą nutiesiant apie 3,0 km vandentiekio tinklų su šulinėliais armatūrai, įvadų šuliniais arba požeminėmis pajungimo sklendėmis, vandens skaitikliais ant kiekvieno įvado; pastatyti nuotekų valyklą (našumas apie 28,07 m3/d) su dumblo pirminio tvarkymo ir saugojimo įranga; įrengti nuotekų surinkimo sistemą nutiesiant apie 6,0 km tinklų su eksploataciniais, pajungimo šulinėliais ir nuotekų siurblinėmis; įrengti gaisrinius hidrantus renovuojamose ir naujai įrengiamuose vandentiekio tinkluose; įrengti paviršinių nuotekų tvarkymo sistemą. Finansavimas – ES ir Pagėgių savivaldybės fondai. </w:t>
      </w:r>
    </w:p>
    <w:p w:rsidR="004B21BE" w:rsidRPr="00175FE5" w:rsidRDefault="004B21BE" w:rsidP="00853CEA">
      <w:pPr>
        <w:spacing w:line="360" w:lineRule="auto"/>
        <w:ind w:firstLine="902"/>
        <w:jc w:val="both"/>
      </w:pPr>
      <w:r w:rsidRPr="00175FE5">
        <w:t>3. Buitinių nuotekų valymo įrenginių rekonstrukcija Piktupėnų gyvenvietėje, Išnagrinėjus galimas alternatyvas pagal „Geriamo vandens tiekimo ir nuotekų tvarkymo infrastruktūros plėtros planų rengimo taisykles“ pasirenkama optimali alternatyva yra centralizuotas buitinių nuotekų surinkimas, naujų biologinių buitinių nuotekų valymo įrenginių statyba 21,22 m3/d našumo, senųjų vietoje.</w:t>
      </w:r>
    </w:p>
    <w:p w:rsidR="004B21BE" w:rsidRPr="00175FE5" w:rsidRDefault="004B21BE" w:rsidP="00853CEA">
      <w:pPr>
        <w:pStyle w:val="Betarp"/>
        <w:spacing w:line="360" w:lineRule="auto"/>
        <w:ind w:firstLine="902"/>
        <w:jc w:val="both"/>
        <w:rPr>
          <w:rFonts w:ascii="Times New Roman" w:hAnsi="Times New Roman" w:cs="Times New Roman"/>
          <w:sz w:val="24"/>
          <w:szCs w:val="24"/>
        </w:rPr>
      </w:pPr>
      <w:r w:rsidRPr="00175FE5">
        <w:rPr>
          <w:rFonts w:ascii="Times New Roman" w:hAnsi="Times New Roman" w:cs="Times New Roman"/>
          <w:sz w:val="24"/>
          <w:szCs w:val="24"/>
        </w:rPr>
        <w:t>4. Sieksime perimti naujas veiklas: Pagėgių savivaldybės pastatų, Pagėgių mieste, prijungimas prie UAB „Pagėgių komunalinis ūkis“ centralizuotos šilumos tinklų; buitinių nuotekų surinkimas ir išvežimas; paviršinių ir lietaus vandens tinklų priežiūra ir administravimas.</w:t>
      </w:r>
    </w:p>
    <w:p w:rsidR="004B21BE" w:rsidRPr="00175FE5" w:rsidRDefault="004B21BE" w:rsidP="00853CEA">
      <w:pPr>
        <w:spacing w:line="360" w:lineRule="auto"/>
        <w:ind w:firstLine="902"/>
        <w:jc w:val="both"/>
      </w:pPr>
      <w:r w:rsidRPr="00175FE5">
        <w:t>5 Aktyviai dalyvauti Europos sąjungos finansuojamose projektuose įsisavinti skiriamas lėšas. Vienas didžiausių Bendrovės tikslų, siekiant artimiausiais laikotarpiais uždirbti didesnes pajamas, nuotekų tvarkymo paslaugos išplėtimas, t.y. naujų paslaugų vartotojų prisijungimas prie centralizuotų nuotekų tinklų.</w:t>
      </w:r>
    </w:p>
    <w:p w:rsidR="004B21BE" w:rsidRPr="00781615" w:rsidRDefault="004B21BE" w:rsidP="00853CEA">
      <w:pPr>
        <w:pStyle w:val="Betarp"/>
        <w:spacing w:line="360" w:lineRule="auto"/>
        <w:jc w:val="both"/>
        <w:rPr>
          <w:rFonts w:ascii="Times New Roman" w:hAnsi="Times New Roman" w:cs="Times New Roman"/>
          <w:sz w:val="24"/>
          <w:szCs w:val="24"/>
        </w:rPr>
      </w:pPr>
      <w:r w:rsidRPr="00175FE5">
        <w:rPr>
          <w:rFonts w:ascii="Times New Roman" w:hAnsi="Times New Roman" w:cs="Times New Roman"/>
          <w:sz w:val="24"/>
          <w:szCs w:val="24"/>
        </w:rPr>
        <w:t xml:space="preserve">              UAB „Pagėgių komunalinis ūkis“ visuomet atviri idėjoms ir pasiūlymams bendradarbiaujant, tobulinant bendrovės veiklą, kad būtų patenkinti klientų poreikiai. Nuolat ieško būdų kaip padidinti bendrovės pajamas ir mažinti išlaidas, taupiai naudoti išteklius ir atsargas. Bendrovės darbuotojų kolektyvas yra pasiruošęs įgyvendinti visas iškeltas užduotis ir padaryti viską, kad mūsų vandens vartotojai jaustųsi kuo patogiau.</w:t>
      </w:r>
    </w:p>
    <w:p w:rsidR="004B21BE" w:rsidRPr="00781615" w:rsidRDefault="004B21BE" w:rsidP="00853CEA">
      <w:pPr>
        <w:spacing w:line="360" w:lineRule="auto"/>
        <w:ind w:firstLine="902"/>
        <w:jc w:val="both"/>
      </w:pPr>
    </w:p>
    <w:p w:rsidR="004B21BE" w:rsidRPr="00781615" w:rsidRDefault="004B21BE" w:rsidP="00853CEA">
      <w:pPr>
        <w:spacing w:line="360" w:lineRule="auto"/>
        <w:ind w:firstLine="902"/>
        <w:jc w:val="both"/>
      </w:pPr>
    </w:p>
    <w:p w:rsidR="004B21BE" w:rsidRPr="00781615" w:rsidRDefault="004B21BE" w:rsidP="00853CEA">
      <w:pPr>
        <w:spacing w:line="360" w:lineRule="auto"/>
        <w:ind w:firstLine="902"/>
        <w:jc w:val="both"/>
      </w:pPr>
    </w:p>
    <w:p w:rsidR="004B21BE" w:rsidRPr="00781615" w:rsidRDefault="004B21BE" w:rsidP="00853CEA">
      <w:pPr>
        <w:spacing w:line="360" w:lineRule="auto"/>
        <w:ind w:firstLine="902"/>
        <w:jc w:val="both"/>
      </w:pPr>
    </w:p>
    <w:p w:rsidR="004B21BE" w:rsidRPr="00781615" w:rsidRDefault="004B21BE" w:rsidP="00853CEA">
      <w:pPr>
        <w:spacing w:line="360" w:lineRule="auto"/>
        <w:ind w:firstLine="902"/>
        <w:jc w:val="both"/>
      </w:pPr>
    </w:p>
    <w:p w:rsidR="004B21BE" w:rsidRDefault="004B21BE" w:rsidP="00853CEA"/>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p w:rsidR="004B21BE" w:rsidRDefault="004B21BE" w:rsidP="003A0644">
      <w:pPr>
        <w:ind w:left="3806" w:firstLine="1296"/>
        <w:jc w:val="both"/>
        <w:rPr>
          <w:color w:val="000000"/>
        </w:rPr>
      </w:pPr>
    </w:p>
    <w:sectPr w:rsidR="004B21BE" w:rsidSect="0031034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32DCB0BE"/>
    <w:lvl w:ilvl="0" w:tplc="F03CB168">
      <w:start w:val="4"/>
      <w:numFmt w:val="decimal"/>
      <w:lvlText w:val="%1."/>
      <w:lvlJc w:val="left"/>
      <w:pPr>
        <w:tabs>
          <w:tab w:val="num" w:pos="1080"/>
        </w:tabs>
        <w:ind w:left="1080" w:hanging="360"/>
      </w:pPr>
      <w:rPr>
        <w:rFonts w:cs="Times New Roman"/>
        <w:b/>
        <w:bCs/>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FC1192D"/>
    <w:multiLevelType w:val="hybridMultilevel"/>
    <w:tmpl w:val="C4BCE1BA"/>
    <w:lvl w:ilvl="0" w:tplc="0427000F">
      <w:start w:val="1"/>
      <w:numFmt w:val="decimal"/>
      <w:lvlText w:val="%1."/>
      <w:lvlJc w:val="left"/>
      <w:pPr>
        <w:tabs>
          <w:tab w:val="num" w:pos="1070"/>
        </w:tabs>
        <w:ind w:left="1070" w:hanging="360"/>
      </w:pPr>
      <w:rPr>
        <w:rFonts w:cs="Times New Roman" w:hint="default"/>
      </w:r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5ACC02F0"/>
    <w:multiLevelType w:val="hybridMultilevel"/>
    <w:tmpl w:val="2A2065AA"/>
    <w:lvl w:ilvl="0" w:tplc="BD807B50">
      <w:start w:val="1"/>
      <w:numFmt w:val="decimal"/>
      <w:lvlText w:val="%1."/>
      <w:lvlJc w:val="left"/>
      <w:pPr>
        <w:tabs>
          <w:tab w:val="num" w:pos="1620"/>
        </w:tabs>
        <w:ind w:left="1620" w:hanging="360"/>
      </w:pPr>
      <w:rPr>
        <w:rFonts w:cs="Times New Roman"/>
      </w:rPr>
    </w:lvl>
    <w:lvl w:ilvl="1" w:tplc="32207B44">
      <w:numFmt w:val="none"/>
      <w:lvlText w:val=""/>
      <w:lvlJc w:val="left"/>
      <w:pPr>
        <w:tabs>
          <w:tab w:val="num" w:pos="360"/>
        </w:tabs>
      </w:pPr>
      <w:rPr>
        <w:rFonts w:cs="Times New Roman"/>
      </w:rPr>
    </w:lvl>
    <w:lvl w:ilvl="2" w:tplc="5038FC2C">
      <w:numFmt w:val="none"/>
      <w:lvlText w:val=""/>
      <w:lvlJc w:val="left"/>
      <w:pPr>
        <w:tabs>
          <w:tab w:val="num" w:pos="360"/>
        </w:tabs>
      </w:pPr>
      <w:rPr>
        <w:rFonts w:cs="Times New Roman"/>
      </w:rPr>
    </w:lvl>
    <w:lvl w:ilvl="3" w:tplc="E0E44C6C">
      <w:numFmt w:val="none"/>
      <w:lvlText w:val=""/>
      <w:lvlJc w:val="left"/>
      <w:pPr>
        <w:tabs>
          <w:tab w:val="num" w:pos="360"/>
        </w:tabs>
      </w:pPr>
      <w:rPr>
        <w:rFonts w:cs="Times New Roman"/>
      </w:rPr>
    </w:lvl>
    <w:lvl w:ilvl="4" w:tplc="220461AE">
      <w:numFmt w:val="none"/>
      <w:lvlText w:val=""/>
      <w:lvlJc w:val="left"/>
      <w:pPr>
        <w:tabs>
          <w:tab w:val="num" w:pos="360"/>
        </w:tabs>
      </w:pPr>
      <w:rPr>
        <w:rFonts w:cs="Times New Roman"/>
      </w:rPr>
    </w:lvl>
    <w:lvl w:ilvl="5" w:tplc="AD947A8E">
      <w:numFmt w:val="none"/>
      <w:lvlText w:val=""/>
      <w:lvlJc w:val="left"/>
      <w:pPr>
        <w:tabs>
          <w:tab w:val="num" w:pos="360"/>
        </w:tabs>
      </w:pPr>
      <w:rPr>
        <w:rFonts w:cs="Times New Roman"/>
      </w:rPr>
    </w:lvl>
    <w:lvl w:ilvl="6" w:tplc="25D00008">
      <w:numFmt w:val="none"/>
      <w:lvlText w:val=""/>
      <w:lvlJc w:val="left"/>
      <w:pPr>
        <w:tabs>
          <w:tab w:val="num" w:pos="360"/>
        </w:tabs>
      </w:pPr>
      <w:rPr>
        <w:rFonts w:cs="Times New Roman"/>
      </w:rPr>
    </w:lvl>
    <w:lvl w:ilvl="7" w:tplc="A03C850C">
      <w:numFmt w:val="none"/>
      <w:lvlText w:val=""/>
      <w:lvlJc w:val="left"/>
      <w:pPr>
        <w:tabs>
          <w:tab w:val="num" w:pos="360"/>
        </w:tabs>
      </w:pPr>
      <w:rPr>
        <w:rFonts w:cs="Times New Roman"/>
      </w:rPr>
    </w:lvl>
    <w:lvl w:ilvl="8" w:tplc="88E08428">
      <w:numFmt w:val="none"/>
      <w:lvlText w:val=""/>
      <w:lvlJc w:val="left"/>
      <w:pPr>
        <w:tabs>
          <w:tab w:val="num" w:pos="360"/>
        </w:tabs>
      </w:pPr>
      <w:rPr>
        <w:rFonts w:cs="Times New Roman"/>
      </w:rPr>
    </w:lvl>
  </w:abstractNum>
  <w:abstractNum w:abstractNumId="4">
    <w:nsid w:val="752C72CF"/>
    <w:multiLevelType w:val="hybridMultilevel"/>
    <w:tmpl w:val="7F3E0948"/>
    <w:lvl w:ilvl="0" w:tplc="441E8A26">
      <w:start w:val="26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348"/>
    <w:rsid w:val="00064F45"/>
    <w:rsid w:val="000A5DEE"/>
    <w:rsid w:val="000B01DB"/>
    <w:rsid w:val="001376CF"/>
    <w:rsid w:val="00143209"/>
    <w:rsid w:val="00175FE5"/>
    <w:rsid w:val="00181924"/>
    <w:rsid w:val="001976BF"/>
    <w:rsid w:val="001A52E4"/>
    <w:rsid w:val="001A5AFD"/>
    <w:rsid w:val="001B13E7"/>
    <w:rsid w:val="001B7A8F"/>
    <w:rsid w:val="0022148A"/>
    <w:rsid w:val="0027319C"/>
    <w:rsid w:val="00291472"/>
    <w:rsid w:val="002A040D"/>
    <w:rsid w:val="002B071E"/>
    <w:rsid w:val="002D7CFF"/>
    <w:rsid w:val="003010C3"/>
    <w:rsid w:val="00306E0B"/>
    <w:rsid w:val="0031034C"/>
    <w:rsid w:val="0036589E"/>
    <w:rsid w:val="00384075"/>
    <w:rsid w:val="00391475"/>
    <w:rsid w:val="003A0644"/>
    <w:rsid w:val="003A2046"/>
    <w:rsid w:val="004059C8"/>
    <w:rsid w:val="00440023"/>
    <w:rsid w:val="004B21BE"/>
    <w:rsid w:val="0051403E"/>
    <w:rsid w:val="00531C49"/>
    <w:rsid w:val="005635F0"/>
    <w:rsid w:val="005D6393"/>
    <w:rsid w:val="00757348"/>
    <w:rsid w:val="00781615"/>
    <w:rsid w:val="007A6D7F"/>
    <w:rsid w:val="007E5768"/>
    <w:rsid w:val="00831B9C"/>
    <w:rsid w:val="008367C8"/>
    <w:rsid w:val="00853CEA"/>
    <w:rsid w:val="0089182C"/>
    <w:rsid w:val="00932C9D"/>
    <w:rsid w:val="0096476A"/>
    <w:rsid w:val="009B6BC9"/>
    <w:rsid w:val="009C1564"/>
    <w:rsid w:val="009F76BB"/>
    <w:rsid w:val="00A062FA"/>
    <w:rsid w:val="00A3567A"/>
    <w:rsid w:val="00A921D6"/>
    <w:rsid w:val="00AB7ED2"/>
    <w:rsid w:val="00B24348"/>
    <w:rsid w:val="00CB25FA"/>
    <w:rsid w:val="00CC509D"/>
    <w:rsid w:val="00D162C1"/>
    <w:rsid w:val="00DD535D"/>
    <w:rsid w:val="00E54A2E"/>
    <w:rsid w:val="00E7249D"/>
    <w:rsid w:val="00E766BE"/>
    <w:rsid w:val="00EA78EA"/>
    <w:rsid w:val="00F32274"/>
    <w:rsid w:val="00FA7737"/>
    <w:rsid w:val="00FD529B"/>
    <w:rsid w:val="00FF075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48"/>
    <w:pPr>
      <w:overflowPunct w:val="0"/>
      <w:autoSpaceDE w:val="0"/>
      <w:autoSpaceDN w:val="0"/>
      <w:adjustRightInd w:val="0"/>
    </w:pPr>
    <w:rPr>
      <w:sz w:val="24"/>
      <w:szCs w:val="24"/>
      <w:lang w:eastAsia="en-US"/>
    </w:rPr>
  </w:style>
  <w:style w:type="paragraph" w:styleId="Heading2">
    <w:name w:val="heading 2"/>
    <w:basedOn w:val="Normal"/>
    <w:next w:val="Normal"/>
    <w:link w:val="Heading2Char"/>
    <w:uiPriority w:val="99"/>
    <w:qFormat/>
    <w:rsid w:val="00B2434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3567A"/>
    <w:rPr>
      <w:rFonts w:ascii="Cambria" w:hAnsi="Cambria" w:cs="Times New Roman"/>
      <w:b/>
      <w:bCs/>
      <w:i/>
      <w:iCs/>
      <w:sz w:val="28"/>
      <w:szCs w:val="28"/>
      <w:lang w:eastAsia="en-US"/>
    </w:rPr>
  </w:style>
  <w:style w:type="character" w:styleId="Hyperlink">
    <w:name w:val="Hyperlink"/>
    <w:basedOn w:val="DefaultParagraphFont"/>
    <w:uiPriority w:val="99"/>
    <w:rsid w:val="00B24348"/>
    <w:rPr>
      <w:rFonts w:cs="Times New Roman"/>
      <w:color w:val="0000FF"/>
      <w:u w:val="single"/>
    </w:rPr>
  </w:style>
  <w:style w:type="paragraph" w:customStyle="1" w:styleId="Char1CharChar">
    <w:name w:val="Char1 Char Char"/>
    <w:basedOn w:val="Normal"/>
    <w:uiPriority w:val="99"/>
    <w:rsid w:val="00B24348"/>
    <w:pPr>
      <w:overflowPunct/>
      <w:autoSpaceDE/>
      <w:autoSpaceDN/>
      <w:adjustRightInd/>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B24348"/>
    <w:pPr>
      <w:overflowPunct/>
      <w:autoSpaceDE/>
      <w:autoSpaceDN/>
      <w:adjustRightInd/>
      <w:ind w:left="1296"/>
    </w:pPr>
    <w:rPr>
      <w:rFonts w:eastAsia="SimSun"/>
      <w:lang w:val="en-US" w:eastAsia="zh-CN"/>
    </w:rPr>
  </w:style>
  <w:style w:type="paragraph" w:customStyle="1" w:styleId="CharChar1">
    <w:name w:val="Char Char1"/>
    <w:basedOn w:val="Normal"/>
    <w:uiPriority w:val="99"/>
    <w:rsid w:val="007A6D7F"/>
    <w:pPr>
      <w:overflowPunct/>
      <w:autoSpaceDE/>
      <w:autoSpaceDN/>
      <w:adjustRightInd/>
      <w:spacing w:after="160" w:line="240" w:lineRule="exact"/>
    </w:pPr>
    <w:rPr>
      <w:rFonts w:ascii="Tahoma" w:hAnsi="Tahoma" w:cs="Tahoma"/>
      <w:sz w:val="20"/>
      <w:szCs w:val="20"/>
      <w:lang w:val="en-US"/>
    </w:rPr>
  </w:style>
  <w:style w:type="paragraph" w:styleId="HTMLPreformatted">
    <w:name w:val="HTML Preformatted"/>
    <w:basedOn w:val="Normal"/>
    <w:link w:val="HTMLPreformattedChar"/>
    <w:uiPriority w:val="99"/>
    <w:rsid w:val="009F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A3567A"/>
    <w:rPr>
      <w:rFonts w:ascii="Courier New" w:hAnsi="Courier New" w:cs="Courier New"/>
      <w:sz w:val="20"/>
      <w:szCs w:val="20"/>
      <w:lang w:eastAsia="en-US"/>
    </w:rPr>
  </w:style>
  <w:style w:type="paragraph" w:styleId="BodyTextIndent">
    <w:name w:val="Body Text Indent"/>
    <w:basedOn w:val="Normal"/>
    <w:link w:val="BodyTextIndentChar"/>
    <w:uiPriority w:val="99"/>
    <w:rsid w:val="009B6BC9"/>
    <w:pPr>
      <w:overflowPunct/>
      <w:autoSpaceDE/>
      <w:autoSpaceDN/>
      <w:adjustRightInd/>
      <w:spacing w:after="120"/>
      <w:ind w:left="283"/>
    </w:pPr>
    <w:rPr>
      <w:rFonts w:eastAsia="SimSun"/>
      <w:lang w:val="en-US" w:eastAsia="zh-CN"/>
    </w:rPr>
  </w:style>
  <w:style w:type="character" w:customStyle="1" w:styleId="BodyTextIndentChar">
    <w:name w:val="Body Text Indent Char"/>
    <w:basedOn w:val="DefaultParagraphFont"/>
    <w:link w:val="BodyTextIndent"/>
    <w:uiPriority w:val="99"/>
    <w:locked/>
    <w:rsid w:val="009B6BC9"/>
    <w:rPr>
      <w:rFonts w:eastAsia="SimSun" w:cs="Times New Roman"/>
      <w:sz w:val="24"/>
      <w:szCs w:val="24"/>
      <w:lang w:val="en-US" w:eastAsia="zh-CN"/>
    </w:rPr>
  </w:style>
  <w:style w:type="paragraph" w:customStyle="1" w:styleId="Char1CharChar1">
    <w:name w:val="Char1 Char Char1"/>
    <w:basedOn w:val="Normal"/>
    <w:uiPriority w:val="99"/>
    <w:rsid w:val="00932C9D"/>
    <w:pPr>
      <w:overflowPunct/>
      <w:autoSpaceDE/>
      <w:autoSpaceDN/>
      <w:adjustRightInd/>
      <w:spacing w:after="160" w:line="240" w:lineRule="exact"/>
    </w:pPr>
    <w:rPr>
      <w:rFonts w:ascii="Verdana" w:hAnsi="Verdana" w:cs="Verdana"/>
      <w:sz w:val="20"/>
      <w:szCs w:val="20"/>
      <w:lang w:val="en-US"/>
    </w:rPr>
  </w:style>
  <w:style w:type="paragraph" w:customStyle="1" w:styleId="Betarp">
    <w:name w:val="Be tarpų"/>
    <w:uiPriority w:val="99"/>
    <w:rsid w:val="00853CEA"/>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130196847">
      <w:marLeft w:val="0"/>
      <w:marRight w:val="0"/>
      <w:marTop w:val="0"/>
      <w:marBottom w:val="0"/>
      <w:divBdr>
        <w:top w:val="none" w:sz="0" w:space="0" w:color="auto"/>
        <w:left w:val="none" w:sz="0" w:space="0" w:color="auto"/>
        <w:bottom w:val="none" w:sz="0" w:space="0" w:color="auto"/>
        <w:right w:val="none" w:sz="0" w:space="0" w:color="auto"/>
      </w:divBdr>
    </w:div>
    <w:div w:id="2130196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unalinis@pagegiai.lt"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10366</Words>
  <Characters>5910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cp:revision>
  <dcterms:created xsi:type="dcterms:W3CDTF">2017-05-09T09:47:00Z</dcterms:created>
  <dcterms:modified xsi:type="dcterms:W3CDTF">2017-05-19T05:37:00Z</dcterms:modified>
</cp:coreProperties>
</file>