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2C" w:rsidRPr="005F4652" w:rsidRDefault="00C7212C" w:rsidP="00C7212C">
      <w:pPr>
        <w:spacing w:after="0" w:line="240" w:lineRule="auto"/>
        <w:ind w:left="6663"/>
        <w:rPr>
          <w:rFonts w:ascii="Times New Roman" w:hAnsi="Times New Roman"/>
          <w:sz w:val="20"/>
          <w:szCs w:val="20"/>
          <w:shd w:val="clear" w:color="auto" w:fill="FFFFFF"/>
          <w:lang w:eastAsia="lt-LT"/>
        </w:rPr>
      </w:pPr>
      <w:r w:rsidRPr="005F4652">
        <w:rPr>
          <w:rFonts w:ascii="Times New Roman" w:hAnsi="Times New Roman"/>
          <w:sz w:val="20"/>
          <w:szCs w:val="20"/>
        </w:rPr>
        <w:t xml:space="preserve">Pagėgių miesto vietos plėtros 2014 – 2020 m. strategija“ </w:t>
      </w:r>
      <w:r w:rsidRPr="005F4652">
        <w:rPr>
          <w:rFonts w:ascii="Times New Roman" w:hAnsi="Times New Roman"/>
          <w:sz w:val="20"/>
          <w:szCs w:val="20"/>
          <w:shd w:val="clear" w:color="auto" w:fill="FFFFFF"/>
          <w:lang w:eastAsia="lt-LT"/>
        </w:rPr>
        <w:t>vietos plėtros projektinių pasiūlymų vertinimo ir atrankos vidaus tvarkos aprašo</w:t>
      </w:r>
    </w:p>
    <w:p w:rsidR="005F4652" w:rsidRPr="005F4652" w:rsidRDefault="00C7212C" w:rsidP="005F4652">
      <w:pPr>
        <w:spacing w:after="0" w:line="240" w:lineRule="auto"/>
        <w:ind w:left="6663"/>
        <w:rPr>
          <w:rFonts w:ascii="Times New Roman" w:hAnsi="Times New Roman"/>
          <w:sz w:val="20"/>
          <w:szCs w:val="20"/>
          <w:shd w:val="clear" w:color="auto" w:fill="FFFFFF"/>
          <w:lang w:eastAsia="lt-LT"/>
        </w:rPr>
      </w:pPr>
      <w:r w:rsidRPr="005F4652">
        <w:rPr>
          <w:rFonts w:ascii="Times New Roman" w:hAnsi="Times New Roman"/>
          <w:sz w:val="20"/>
          <w:szCs w:val="20"/>
          <w:shd w:val="clear" w:color="auto" w:fill="FFFFFF"/>
          <w:lang w:eastAsia="lt-LT"/>
        </w:rPr>
        <w:t>2 priedas</w:t>
      </w:r>
      <w:r w:rsidR="005F4652" w:rsidRPr="005F4652">
        <w:rPr>
          <w:rFonts w:ascii="Times New Roman" w:hAnsi="Times New Roman"/>
          <w:sz w:val="20"/>
          <w:szCs w:val="20"/>
          <w:shd w:val="clear" w:color="auto" w:fill="FFFFFF"/>
          <w:lang w:eastAsia="lt-LT"/>
        </w:rPr>
        <w:t xml:space="preserve"> </w:t>
      </w:r>
    </w:p>
    <w:p w:rsidR="005F4652" w:rsidRPr="005F4652" w:rsidRDefault="005F4652" w:rsidP="005F4652">
      <w:pPr>
        <w:spacing w:after="0" w:line="240" w:lineRule="auto"/>
        <w:ind w:left="6663"/>
        <w:rPr>
          <w:rFonts w:ascii="Times New Roman" w:hAnsi="Times New Roman"/>
          <w:sz w:val="20"/>
          <w:szCs w:val="20"/>
        </w:rPr>
      </w:pPr>
      <w:r w:rsidRPr="005F4652">
        <w:rPr>
          <w:rFonts w:ascii="Times New Roman" w:hAnsi="Times New Roman"/>
          <w:sz w:val="20"/>
          <w:szCs w:val="20"/>
        </w:rPr>
        <w:t>PATVIRTINTA</w:t>
      </w:r>
    </w:p>
    <w:p w:rsidR="005F4652" w:rsidRPr="005F4652" w:rsidRDefault="005F4652" w:rsidP="005F4652">
      <w:pPr>
        <w:spacing w:after="0" w:line="240" w:lineRule="auto"/>
        <w:ind w:left="6663"/>
        <w:rPr>
          <w:rFonts w:ascii="Times New Roman" w:hAnsi="Times New Roman"/>
          <w:b/>
          <w:sz w:val="20"/>
          <w:szCs w:val="20"/>
        </w:rPr>
      </w:pPr>
      <w:r w:rsidRPr="005F4652">
        <w:rPr>
          <w:rFonts w:ascii="Times New Roman" w:hAnsi="Times New Roman"/>
          <w:sz w:val="20"/>
          <w:szCs w:val="20"/>
        </w:rPr>
        <w:t>Asociacijos „Pagėgių miesto vietos veiklos grupė“ valdybos 2019 m.  lapkričio  mėn.18 d. posėdžio protokolu Nr. VP-2</w:t>
      </w:r>
    </w:p>
    <w:p w:rsidR="00C7212C" w:rsidRDefault="00FB225A" w:rsidP="00FB225A">
      <w:pPr>
        <w:spacing w:after="0" w:line="240" w:lineRule="auto"/>
        <w:rPr>
          <w:rFonts w:ascii="Times New Roman" w:hAnsi="Times New Roman"/>
          <w:b/>
          <w:sz w:val="24"/>
          <w:szCs w:val="24"/>
          <w:highlight w:val="lightGray"/>
          <w:shd w:val="clear" w:color="auto" w:fill="FFFFFF"/>
          <w:lang w:eastAsia="lt-LT"/>
        </w:rPr>
      </w:pPr>
      <w:r>
        <w:rPr>
          <w:rFonts w:ascii="Times New Roman" w:hAnsi="Times New Roman"/>
          <w:b/>
          <w:noProof/>
          <w:sz w:val="24"/>
          <w:szCs w:val="24"/>
          <w:lang w:eastAsia="lt-LT"/>
        </w:rPr>
        <w:drawing>
          <wp:inline distT="0" distB="0" distL="0" distR="0">
            <wp:extent cx="2016125" cy="921385"/>
            <wp:effectExtent l="19050" t="0" r="3175" b="0"/>
            <wp:docPr id="1" name="Picture 16" descr="D:\Dokumentai\VVG miesto\Viesinimas\jpg\ESFIV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Dokumentai\VVG miesto\Viesinimas\jpg\ESFIVP-I-2.jpg"/>
                    <pic:cNvPicPr>
                      <a:picLocks noChangeAspect="1" noChangeArrowheads="1"/>
                    </pic:cNvPicPr>
                  </pic:nvPicPr>
                  <pic:blipFill>
                    <a:blip r:embed="rId5"/>
                    <a:srcRect/>
                    <a:stretch>
                      <a:fillRect/>
                    </a:stretch>
                  </pic:blipFill>
                  <pic:spPr bwMode="auto">
                    <a:xfrm>
                      <a:off x="0" y="0"/>
                      <a:ext cx="2016125" cy="921385"/>
                    </a:xfrm>
                    <a:prstGeom prst="rect">
                      <a:avLst/>
                    </a:prstGeom>
                    <a:noFill/>
                    <a:ln w="9525">
                      <a:noFill/>
                      <a:miter lim="800000"/>
                      <a:headEnd/>
                      <a:tailEnd/>
                    </a:ln>
                  </pic:spPr>
                </pic:pic>
              </a:graphicData>
            </a:graphic>
          </wp:inline>
        </w:drawing>
      </w:r>
    </w:p>
    <w:p w:rsidR="00C7212C" w:rsidRDefault="00C7212C" w:rsidP="00C7212C">
      <w:pPr>
        <w:spacing w:after="0" w:line="240" w:lineRule="auto"/>
        <w:jc w:val="center"/>
        <w:rPr>
          <w:rFonts w:ascii="Times New Roman" w:hAnsi="Times New Roman"/>
          <w:b/>
          <w:bCs/>
          <w:sz w:val="24"/>
          <w:szCs w:val="24"/>
          <w:shd w:val="clear" w:color="auto" w:fill="FFFFFF"/>
          <w:lang w:eastAsia="lt-LT"/>
        </w:rPr>
      </w:pPr>
      <w:r w:rsidRPr="00376038">
        <w:rPr>
          <w:rFonts w:ascii="Times New Roman" w:hAnsi="Times New Roman"/>
          <w:b/>
          <w:bCs/>
          <w:sz w:val="24"/>
          <w:szCs w:val="24"/>
          <w:shd w:val="clear" w:color="auto" w:fill="FFFFFF"/>
          <w:lang w:eastAsia="lt-LT"/>
        </w:rPr>
        <w:t>VIETOS PLĖTROS PROJEKTINIŲ PASIŪLYMŲ ATRANKOS KRITERIJAI</w:t>
      </w:r>
    </w:p>
    <w:p w:rsidR="00C7212C" w:rsidRDefault="00C7212C" w:rsidP="00C7212C">
      <w:pPr>
        <w:spacing w:after="0" w:line="240" w:lineRule="auto"/>
        <w:jc w:val="center"/>
        <w:rPr>
          <w:rFonts w:ascii="Times New Roman" w:hAnsi="Times New Roman"/>
          <w:b/>
          <w:bCs/>
          <w:sz w:val="24"/>
          <w:szCs w:val="24"/>
          <w:shd w:val="clear" w:color="auto" w:fill="FFFFFF"/>
          <w:lang w:eastAsia="lt-LT"/>
        </w:rPr>
      </w:pPr>
      <w:r>
        <w:rPr>
          <w:rFonts w:ascii="Times New Roman" w:hAnsi="Times New Roman"/>
          <w:b/>
          <w:bCs/>
          <w:sz w:val="24"/>
          <w:szCs w:val="24"/>
          <w:shd w:val="clear" w:color="auto" w:fill="FFFFFF"/>
          <w:lang w:eastAsia="lt-LT"/>
        </w:rPr>
        <w:t>PAGAL KVIETIMĄ TEIKTI PROJEKTINIUS PASIŪLYMUS ATRANKAI</w:t>
      </w:r>
    </w:p>
    <w:p w:rsidR="00C7212C" w:rsidRPr="00E72801" w:rsidRDefault="00C7212C" w:rsidP="00C7212C">
      <w:pPr>
        <w:spacing w:after="0" w:line="240" w:lineRule="auto"/>
        <w:jc w:val="center"/>
        <w:rPr>
          <w:rFonts w:ascii="Times New Roman" w:hAnsi="Times New Roman"/>
          <w:b/>
          <w:bCs/>
          <w:sz w:val="24"/>
          <w:szCs w:val="24"/>
          <w:highlight w:val="lightGray"/>
          <w:u w:val="single"/>
          <w:shd w:val="clear" w:color="auto" w:fill="FFFFFF"/>
          <w:lang w:eastAsia="lt-LT"/>
        </w:rPr>
      </w:pPr>
      <w:r w:rsidRPr="00E72801">
        <w:rPr>
          <w:rFonts w:ascii="Times New Roman" w:hAnsi="Times New Roman"/>
          <w:b/>
          <w:bCs/>
          <w:sz w:val="24"/>
          <w:szCs w:val="24"/>
          <w:u w:val="single"/>
          <w:shd w:val="clear" w:color="auto" w:fill="FFFFFF"/>
          <w:lang w:eastAsia="lt-LT"/>
        </w:rPr>
        <w:t>NR.  2</w:t>
      </w:r>
    </w:p>
    <w:p w:rsidR="00C7212C" w:rsidRDefault="00C7212C" w:rsidP="00C7212C">
      <w:pPr>
        <w:spacing w:after="0" w:line="240" w:lineRule="auto"/>
        <w:jc w:val="center"/>
        <w:rPr>
          <w:rFonts w:ascii="Times New Roman" w:hAnsi="Times New Roman"/>
          <w:b/>
          <w:bCs/>
          <w:sz w:val="24"/>
          <w:szCs w:val="24"/>
          <w:highlight w:val="lightGray"/>
          <w:shd w:val="clear" w:color="auto" w:fill="FFFFFF"/>
          <w:lang w:eastAsia="lt-LT"/>
        </w:rPr>
      </w:pPr>
    </w:p>
    <w:tbl>
      <w:tblPr>
        <w:tblW w:w="9781" w:type="dxa"/>
        <w:tblInd w:w="108" w:type="dxa"/>
        <w:tblLayout w:type="fixed"/>
        <w:tblLook w:val="04A0"/>
      </w:tblPr>
      <w:tblGrid>
        <w:gridCol w:w="9781"/>
      </w:tblGrid>
      <w:tr w:rsidR="00C7212C" w:rsidRPr="001D43EA" w:rsidTr="00011D1A">
        <w:trPr>
          <w:trHeight w:val="20"/>
        </w:trPr>
        <w:tc>
          <w:tcPr>
            <w:tcW w:w="9781" w:type="dxa"/>
          </w:tcPr>
          <w:p w:rsidR="00C7212C" w:rsidRPr="001D43EA" w:rsidRDefault="00C7212C" w:rsidP="00011D1A">
            <w:pPr>
              <w:spacing w:line="256" w:lineRule="auto"/>
              <w:ind w:right="373"/>
              <w:rPr>
                <w:rFonts w:ascii="Times New Roman" w:hAnsi="Times New Roman"/>
                <w:b/>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709"/>
              <w:gridCol w:w="4111"/>
              <w:gridCol w:w="850"/>
              <w:gridCol w:w="1134"/>
            </w:tblGrid>
            <w:tr w:rsidR="00C7212C" w:rsidRPr="001D43EA" w:rsidTr="00011D1A">
              <w:trPr>
                <w:trHeight w:val="647"/>
              </w:trPr>
              <w:tc>
                <w:tcPr>
                  <w:tcW w:w="3431" w:type="dxa"/>
                  <w:gridSpan w:val="2"/>
                  <w:tcBorders>
                    <w:top w:val="single" w:sz="4" w:space="0" w:color="auto"/>
                    <w:left w:val="single" w:sz="4" w:space="0" w:color="auto"/>
                    <w:bottom w:val="single" w:sz="4" w:space="0" w:color="auto"/>
                    <w:right w:val="single" w:sz="4" w:space="0" w:color="auto"/>
                  </w:tcBorders>
                  <w:shd w:val="pct10" w:color="auto" w:fill="auto"/>
                  <w:hideMark/>
                </w:tcPr>
                <w:p w:rsidR="00C7212C" w:rsidRPr="001D43EA" w:rsidRDefault="00C7212C" w:rsidP="00011D1A">
                  <w:pPr>
                    <w:keepNext/>
                    <w:spacing w:line="256" w:lineRule="auto"/>
                    <w:jc w:val="center"/>
                    <w:rPr>
                      <w:rFonts w:ascii="Times New Roman" w:hAnsi="Times New Roman"/>
                      <w:b/>
                      <w:bCs/>
                      <w:caps/>
                    </w:rPr>
                  </w:pPr>
                  <w:r w:rsidRPr="001D43EA">
                    <w:rPr>
                      <w:rFonts w:ascii="Times New Roman" w:hAnsi="Times New Roman"/>
                      <w:b/>
                      <w:bCs/>
                    </w:rPr>
                    <w:t xml:space="preserve">Projektų atrankos kriterijaus (toliau – kriterijus) pavadinimas </w:t>
                  </w:r>
                </w:p>
              </w:tc>
              <w:tc>
                <w:tcPr>
                  <w:tcW w:w="4111" w:type="dxa"/>
                  <w:tcBorders>
                    <w:top w:val="single" w:sz="4" w:space="0" w:color="auto"/>
                    <w:left w:val="single" w:sz="4" w:space="0" w:color="auto"/>
                    <w:bottom w:val="single" w:sz="4" w:space="0" w:color="auto"/>
                    <w:right w:val="single" w:sz="4" w:space="0" w:color="auto"/>
                  </w:tcBorders>
                  <w:shd w:val="pct10" w:color="auto" w:fill="auto"/>
                </w:tcPr>
                <w:p w:rsidR="00C7212C" w:rsidRPr="001D43EA" w:rsidRDefault="00C7212C" w:rsidP="00011D1A">
                  <w:pPr>
                    <w:keepNext/>
                    <w:spacing w:line="256" w:lineRule="auto"/>
                    <w:jc w:val="center"/>
                    <w:rPr>
                      <w:rFonts w:ascii="Times New Roman" w:hAnsi="Times New Roman"/>
                      <w:b/>
                      <w:bCs/>
                    </w:rPr>
                  </w:pPr>
                  <w:r w:rsidRPr="001D43EA">
                    <w:rPr>
                      <w:rFonts w:ascii="Times New Roman" w:hAnsi="Times New Roman"/>
                      <w:b/>
                      <w:bCs/>
                    </w:rPr>
                    <w:t xml:space="preserve">Kriterijaus vertinimo aspektai ir paaiškinimai </w:t>
                  </w:r>
                </w:p>
              </w:tc>
              <w:tc>
                <w:tcPr>
                  <w:tcW w:w="1984" w:type="dxa"/>
                  <w:gridSpan w:val="2"/>
                  <w:tcBorders>
                    <w:top w:val="single" w:sz="4" w:space="0" w:color="auto"/>
                    <w:left w:val="single" w:sz="4" w:space="0" w:color="auto"/>
                    <w:bottom w:val="single" w:sz="4" w:space="0" w:color="auto"/>
                    <w:right w:val="single" w:sz="4" w:space="0" w:color="auto"/>
                  </w:tcBorders>
                  <w:shd w:val="pct10" w:color="auto" w:fill="auto"/>
                  <w:hideMark/>
                </w:tcPr>
                <w:p w:rsidR="00C7212C" w:rsidRPr="001D43EA" w:rsidRDefault="00C7212C" w:rsidP="00011D1A">
                  <w:pPr>
                    <w:keepNext/>
                    <w:spacing w:line="256" w:lineRule="auto"/>
                    <w:jc w:val="center"/>
                    <w:rPr>
                      <w:rFonts w:ascii="Times New Roman" w:hAnsi="Times New Roman"/>
                      <w:b/>
                      <w:bCs/>
                      <w:caps/>
                    </w:rPr>
                  </w:pPr>
                  <w:r w:rsidRPr="001D43EA">
                    <w:rPr>
                      <w:rFonts w:ascii="Times New Roman" w:hAnsi="Times New Roman"/>
                      <w:b/>
                      <w:bCs/>
                    </w:rPr>
                    <w:t>Didžiausias galimas kriterijaus balas</w:t>
                  </w:r>
                </w:p>
              </w:tc>
            </w:tr>
            <w:tr w:rsidR="00C7212C" w:rsidRPr="001D43EA" w:rsidTr="00011D1A">
              <w:trPr>
                <w:trHeight w:val="458"/>
              </w:trPr>
              <w:tc>
                <w:tcPr>
                  <w:tcW w:w="9526" w:type="dxa"/>
                  <w:gridSpan w:val="5"/>
                  <w:tcBorders>
                    <w:top w:val="single" w:sz="4" w:space="0" w:color="auto"/>
                    <w:left w:val="single" w:sz="4" w:space="0" w:color="auto"/>
                    <w:bottom w:val="single" w:sz="4" w:space="0" w:color="auto"/>
                    <w:right w:val="single" w:sz="4" w:space="0" w:color="auto"/>
                  </w:tcBorders>
                  <w:vAlign w:val="center"/>
                </w:tcPr>
                <w:p w:rsidR="00C7212C" w:rsidRPr="001D43EA" w:rsidRDefault="00C7212C" w:rsidP="00C7212C">
                  <w:pPr>
                    <w:pStyle w:val="Sraopastraipa"/>
                    <w:numPr>
                      <w:ilvl w:val="0"/>
                      <w:numId w:val="1"/>
                    </w:numPr>
                    <w:spacing w:after="0" w:line="240" w:lineRule="auto"/>
                    <w:jc w:val="both"/>
                    <w:rPr>
                      <w:rFonts w:ascii="Times New Roman" w:hAnsi="Times New Roman"/>
                      <w:b/>
                      <w:bCs/>
                      <w:caps/>
                    </w:rPr>
                  </w:pPr>
                  <w:r w:rsidRPr="001D43EA">
                    <w:rPr>
                      <w:rFonts w:ascii="Times New Roman" w:hAnsi="Times New Roman"/>
                      <w:b/>
                      <w:bCs/>
                    </w:rPr>
                    <w:t xml:space="preserve">BENDRIEJI PROJEKTŲ ATRANKOS KRITERIJAI*: </w:t>
                  </w:r>
                </w:p>
                <w:p w:rsidR="00C7212C" w:rsidRPr="001D43EA" w:rsidRDefault="00C7212C" w:rsidP="00011D1A">
                  <w:pPr>
                    <w:rPr>
                      <w:rFonts w:ascii="Times New Roman" w:hAnsi="Times New Roman"/>
                      <w:b/>
                      <w:bCs/>
                      <w:caps/>
                    </w:rPr>
                  </w:pPr>
                  <w:r w:rsidRPr="001D43EA">
                    <w:rPr>
                      <w:rFonts w:ascii="Times New Roman" w:hAnsi="Times New Roman"/>
                      <w:b/>
                      <w:bCs/>
                      <w:caps/>
                    </w:rPr>
                    <w:t>*</w:t>
                  </w:r>
                  <w:r w:rsidRPr="001D43EA">
                    <w:rPr>
                      <w:rFonts w:ascii="Times New Roman" w:hAnsi="Times New Roman"/>
                      <w:bCs/>
                      <w:i/>
                    </w:rPr>
                    <w:t>Šiuos visus kriterijus turi atitikti visi projektai.</w:t>
                  </w:r>
                  <w:r w:rsidRPr="001D43EA">
                    <w:rPr>
                      <w:rFonts w:ascii="Times New Roman" w:hAnsi="Times New Roman"/>
                      <w:bCs/>
                    </w:rPr>
                    <w:t xml:space="preserve"> </w:t>
                  </w:r>
                </w:p>
              </w:tc>
            </w:tr>
            <w:tr w:rsidR="00C7212C" w:rsidRPr="001D43EA" w:rsidTr="00011D1A">
              <w:trPr>
                <w:trHeight w:val="1056"/>
              </w:trPr>
              <w:tc>
                <w:tcPr>
                  <w:tcW w:w="3431" w:type="dxa"/>
                  <w:gridSpan w:val="2"/>
                  <w:tcBorders>
                    <w:top w:val="single" w:sz="4" w:space="0" w:color="auto"/>
                    <w:left w:val="single" w:sz="4" w:space="0" w:color="auto"/>
                    <w:bottom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t>1.1 Projektas turi atitikti Strategijos veiksmą ,,X“</w:t>
                  </w:r>
                </w:p>
              </w:tc>
              <w:tc>
                <w:tcPr>
                  <w:tcW w:w="4111" w:type="dxa"/>
                  <w:tcBorders>
                    <w:top w:val="single" w:sz="4" w:space="0" w:color="auto"/>
                    <w:left w:val="single" w:sz="4" w:space="0" w:color="auto"/>
                    <w:right w:val="single" w:sz="4" w:space="0" w:color="auto"/>
                  </w:tcBorders>
                  <w:hideMark/>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t>Kriterijus leidžia užtikrinti, kad visi miesto VVG atrinkti projektai atitiks Strategiją ir Aprašo 19.1 papunktyje nustatytą reikalavimą projektams.</w:t>
                  </w:r>
                </w:p>
                <w:p w:rsidR="00C7212C" w:rsidRPr="001D43EA" w:rsidRDefault="00C7212C" w:rsidP="00011D1A">
                  <w:pPr>
                    <w:jc w:val="both"/>
                    <w:rPr>
                      <w:rFonts w:ascii="Times New Roman" w:hAnsi="Times New Roman"/>
                      <w:color w:val="000000"/>
                    </w:rPr>
                  </w:pPr>
                  <w:r w:rsidRPr="001D43EA">
                    <w:rPr>
                      <w:rFonts w:ascii="Times New Roman" w:hAnsi="Times New Roman"/>
                      <w:color w:val="000000"/>
                    </w:rPr>
                    <w:t xml:space="preserve">Pagal Aprašo 19.1 papunktį projektas </w:t>
                  </w:r>
                  <w:r w:rsidRPr="001D43EA">
                    <w:rPr>
                      <w:rFonts w:ascii="Times New Roman" w:hAnsi="Times New Roman"/>
                    </w:rPr>
                    <w:t>turi atitikti bent vieną iš Strategijos veiksmų, nurodytų Strategijos dalyje „Vietos plėtros strategijos įgyvendinimo veiksmų planas“.</w:t>
                  </w:r>
                </w:p>
              </w:tc>
              <w:tc>
                <w:tcPr>
                  <w:tcW w:w="1984" w:type="dxa"/>
                  <w:gridSpan w:val="2"/>
                  <w:vMerge w:val="restart"/>
                  <w:tcBorders>
                    <w:top w:val="single" w:sz="4" w:space="0" w:color="auto"/>
                    <w:left w:val="single" w:sz="4" w:space="0" w:color="auto"/>
                    <w:right w:val="single" w:sz="4" w:space="0" w:color="auto"/>
                  </w:tcBorders>
                </w:tcPr>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r w:rsidRPr="001D43EA">
                    <w:rPr>
                      <w:rFonts w:ascii="Times New Roman" w:hAnsi="Times New Roman"/>
                      <w:bCs/>
                      <w:i/>
                    </w:rPr>
                    <w:t>Balai pagal bendruosius projektų atrankos kriterijus neskiriami</w:t>
                  </w: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p w:rsidR="00C7212C" w:rsidRPr="001D43EA" w:rsidRDefault="00C7212C" w:rsidP="00011D1A">
                  <w:pPr>
                    <w:spacing w:line="256" w:lineRule="auto"/>
                    <w:jc w:val="center"/>
                    <w:rPr>
                      <w:rFonts w:ascii="Times New Roman" w:hAnsi="Times New Roman"/>
                      <w:bCs/>
                      <w:i/>
                    </w:rPr>
                  </w:pPr>
                </w:p>
              </w:tc>
            </w:tr>
            <w:tr w:rsidR="00C7212C" w:rsidRPr="001D43EA" w:rsidTr="00011D1A">
              <w:trPr>
                <w:trHeight w:val="845"/>
              </w:trPr>
              <w:tc>
                <w:tcPr>
                  <w:tcW w:w="3431" w:type="dxa"/>
                  <w:gridSpan w:val="2"/>
                  <w:tcBorders>
                    <w:top w:val="single" w:sz="4" w:space="0" w:color="auto"/>
                    <w:left w:val="single" w:sz="4" w:space="0" w:color="auto"/>
                    <w:bottom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t xml:space="preserve">1.2 Projektu turi būti suteikta nauda ne mažiau kaip ,,X“ skaičiui asmenų iš tikslinės grupės ,,X“  </w:t>
                  </w:r>
                </w:p>
              </w:tc>
              <w:tc>
                <w:tcPr>
                  <w:tcW w:w="4111" w:type="dxa"/>
                  <w:tcBorders>
                    <w:top w:val="single" w:sz="4" w:space="0" w:color="auto"/>
                    <w:left w:val="single" w:sz="4" w:space="0" w:color="auto"/>
                    <w:bottom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t>Kriterijus leidžia užtikrinti, kad visais miesto VVG atrinktais projektais bus prisidedama prie konkretaus Strategijos uždavinio įgyvendinimo, taip pat kad visi atrinkti projektai atitiks Aprašo 24.1 papunkčio reikalavimą.</w:t>
                  </w:r>
                </w:p>
                <w:p w:rsidR="00C7212C" w:rsidRPr="001D43EA" w:rsidRDefault="00C7212C" w:rsidP="00011D1A">
                  <w:pPr>
                    <w:jc w:val="both"/>
                    <w:rPr>
                      <w:rFonts w:ascii="Times New Roman" w:hAnsi="Times New Roman"/>
                    </w:rPr>
                  </w:pPr>
                  <w:r w:rsidRPr="001D43EA">
                    <w:rPr>
                      <w:rFonts w:ascii="Times New Roman" w:hAnsi="Times New Roman"/>
                      <w:color w:val="000000"/>
                    </w:rPr>
                    <w:t xml:space="preserve">Pagal Aprašo 24.1 papunktį visi projektai turi siekti </w:t>
                  </w:r>
                  <w:r w:rsidRPr="001D43EA">
                    <w:rPr>
                      <w:rFonts w:ascii="Times New Roman" w:hAnsi="Times New Roman"/>
                    </w:rPr>
                    <w:t>produkto rodiklio „BIVP projektų veiklų dalyviai (įskaitant visas tikslines grupes)“; minimali siektina reikšmė – 5 dalyviai;</w:t>
                  </w:r>
                </w:p>
                <w:p w:rsidR="00C7212C" w:rsidRPr="001D43EA" w:rsidRDefault="00C7212C" w:rsidP="00011D1A">
                  <w:pPr>
                    <w:jc w:val="both"/>
                    <w:rPr>
                      <w:rFonts w:ascii="Times New Roman" w:hAnsi="Times New Roman"/>
                      <w:color w:val="000000"/>
                    </w:rPr>
                  </w:pPr>
                  <w:r w:rsidRPr="001D43EA">
                    <w:rPr>
                      <w:rFonts w:ascii="Times New Roman" w:hAnsi="Times New Roman"/>
                      <w:color w:val="000000"/>
                    </w:rPr>
                    <w:t xml:space="preserve">Rekomenduojama nustatant minimalią </w:t>
                  </w:r>
                  <w:r w:rsidRPr="001D43EA">
                    <w:rPr>
                      <w:rFonts w:ascii="Times New Roman" w:hAnsi="Times New Roman"/>
                      <w:color w:val="000000"/>
                    </w:rPr>
                    <w:lastRenderedPageBreak/>
                    <w:t>projektu siektiną rodiklio reikšmę atsižvelgti ne tik į Aprašo 24.1 papunktyje nustatytą reikalavimą, bet ir į Strategijoje numatytą pasiekti atitinkamo rodiklio skaitinę reikšmę bei bendrą preliminariai numatomų atrinkti  projektų, kuriais bus prisidedama prie atitinkamo rodiklio, skaičių.</w:t>
                  </w:r>
                </w:p>
              </w:tc>
              <w:tc>
                <w:tcPr>
                  <w:tcW w:w="1984" w:type="dxa"/>
                  <w:gridSpan w:val="2"/>
                  <w:vMerge/>
                  <w:tcBorders>
                    <w:left w:val="single" w:sz="4" w:space="0" w:color="auto"/>
                    <w:right w:val="single" w:sz="4" w:space="0" w:color="auto"/>
                  </w:tcBorders>
                </w:tcPr>
                <w:p w:rsidR="00C7212C" w:rsidRPr="001D43EA" w:rsidRDefault="00C7212C" w:rsidP="00011D1A">
                  <w:pPr>
                    <w:spacing w:line="256" w:lineRule="auto"/>
                    <w:jc w:val="center"/>
                    <w:rPr>
                      <w:rFonts w:ascii="Times New Roman" w:hAnsi="Times New Roman"/>
                      <w:bCs/>
                    </w:rPr>
                  </w:pPr>
                </w:p>
              </w:tc>
            </w:tr>
            <w:tr w:rsidR="00C7212C" w:rsidRPr="001D43EA" w:rsidTr="00011D1A">
              <w:trPr>
                <w:trHeight w:val="984"/>
              </w:trPr>
              <w:tc>
                <w:tcPr>
                  <w:tcW w:w="3431" w:type="dxa"/>
                  <w:gridSpan w:val="2"/>
                  <w:tcBorders>
                    <w:top w:val="single" w:sz="4" w:space="0" w:color="auto"/>
                    <w:left w:val="single" w:sz="4" w:space="0" w:color="auto"/>
                    <w:bottom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lastRenderedPageBreak/>
                    <w:t xml:space="preserve">1.3 Projektu turi būti prisidedama prie Strategijos ,,X“ uždavinio įgyvendinimo stebėsenos rodiklio ,,X“ siekimo </w:t>
                  </w:r>
                </w:p>
              </w:tc>
              <w:tc>
                <w:tcPr>
                  <w:tcW w:w="4111" w:type="dxa"/>
                  <w:tcBorders>
                    <w:top w:val="single" w:sz="4" w:space="0" w:color="auto"/>
                    <w:left w:val="single" w:sz="4" w:space="0" w:color="auto"/>
                    <w:bottom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t>Kriterijus leidžia sukurti prielaidas Strategijoje nustatytos Strategijos ,,X“ uždavinio ,,X“ produkto rodiklio reikšmės pasiekimui.</w:t>
                  </w:r>
                </w:p>
                <w:p w:rsidR="00C7212C" w:rsidRPr="001D43EA" w:rsidRDefault="00C7212C" w:rsidP="00011D1A">
                  <w:pPr>
                    <w:jc w:val="both"/>
                    <w:rPr>
                      <w:rFonts w:ascii="Times New Roman" w:hAnsi="Times New Roman"/>
                      <w:color w:val="000000"/>
                    </w:rPr>
                  </w:pPr>
                  <w:r w:rsidRPr="001D43EA">
                    <w:rPr>
                      <w:rFonts w:ascii="Times New Roman" w:hAnsi="Times New Roman"/>
                      <w:color w:val="000000"/>
                    </w:rPr>
                    <w:t xml:space="preserve">Rekomenduojama rengiant kriterijus orientuotis į projektų prisidėjimo prie Strategijos konkretaus uždavinio įgyvendinimo stebėsenos </w:t>
                  </w:r>
                  <w:r w:rsidRPr="001D43EA">
                    <w:rPr>
                      <w:rFonts w:ascii="Times New Roman" w:hAnsi="Times New Roman"/>
                      <w:color w:val="000000"/>
                      <w:u w:val="single"/>
                    </w:rPr>
                    <w:t>produkto</w:t>
                  </w:r>
                  <w:r>
                    <w:rPr>
                      <w:rFonts w:ascii="Times New Roman" w:hAnsi="Times New Roman"/>
                      <w:color w:val="000000"/>
                      <w:u w:val="single"/>
                    </w:rPr>
                    <w:t xml:space="preserve"> </w:t>
                  </w:r>
                  <w:r w:rsidRPr="001D43EA">
                    <w:rPr>
                      <w:rFonts w:ascii="Times New Roman" w:hAnsi="Times New Roman"/>
                      <w:color w:val="000000"/>
                    </w:rPr>
                    <w:t>rodiklių vertinimą.</w:t>
                  </w:r>
                </w:p>
              </w:tc>
              <w:tc>
                <w:tcPr>
                  <w:tcW w:w="1984" w:type="dxa"/>
                  <w:gridSpan w:val="2"/>
                  <w:vMerge/>
                  <w:tcBorders>
                    <w:left w:val="single" w:sz="4" w:space="0" w:color="auto"/>
                    <w:right w:val="single" w:sz="4" w:space="0" w:color="auto"/>
                  </w:tcBorders>
                </w:tcPr>
                <w:p w:rsidR="00C7212C" w:rsidRPr="001D43EA" w:rsidRDefault="00C7212C" w:rsidP="00011D1A">
                  <w:pPr>
                    <w:spacing w:line="256" w:lineRule="auto"/>
                    <w:jc w:val="center"/>
                    <w:rPr>
                      <w:rFonts w:ascii="Times New Roman" w:hAnsi="Times New Roman"/>
                      <w:bCs/>
                    </w:rPr>
                  </w:pPr>
                </w:p>
              </w:tc>
            </w:tr>
            <w:tr w:rsidR="00C7212C" w:rsidRPr="001D43EA" w:rsidTr="00011D1A">
              <w:trPr>
                <w:trHeight w:val="1186"/>
              </w:trPr>
              <w:tc>
                <w:tcPr>
                  <w:tcW w:w="3431" w:type="dxa"/>
                  <w:gridSpan w:val="2"/>
                  <w:tcBorders>
                    <w:top w:val="single" w:sz="4" w:space="0" w:color="auto"/>
                    <w:left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t>1.4 Projektu siekiama aiškių ir realių rezultatų</w:t>
                  </w:r>
                </w:p>
              </w:tc>
              <w:tc>
                <w:tcPr>
                  <w:tcW w:w="4111" w:type="dxa"/>
                  <w:tcBorders>
                    <w:top w:val="single" w:sz="4" w:space="0" w:color="auto"/>
                    <w:left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t>Kriterijus leidžia užtikrinti, kad visi miesto VVG atrinkti projektai turės aiškią vidinę logiką, aiškias veiklas ir rezultatus.</w:t>
                  </w:r>
                </w:p>
              </w:tc>
              <w:tc>
                <w:tcPr>
                  <w:tcW w:w="1984" w:type="dxa"/>
                  <w:gridSpan w:val="2"/>
                  <w:vMerge/>
                  <w:tcBorders>
                    <w:left w:val="single" w:sz="4" w:space="0" w:color="auto"/>
                    <w:right w:val="single" w:sz="4" w:space="0" w:color="auto"/>
                  </w:tcBorders>
                </w:tcPr>
                <w:p w:rsidR="00C7212C" w:rsidRPr="001D43EA" w:rsidRDefault="00C7212C" w:rsidP="00011D1A">
                  <w:pPr>
                    <w:spacing w:line="256" w:lineRule="auto"/>
                    <w:jc w:val="center"/>
                    <w:rPr>
                      <w:rFonts w:ascii="Times New Roman" w:hAnsi="Times New Roman"/>
                      <w:bCs/>
                    </w:rPr>
                  </w:pPr>
                </w:p>
              </w:tc>
            </w:tr>
            <w:tr w:rsidR="00C7212C" w:rsidRPr="001D43EA" w:rsidTr="00011D1A">
              <w:trPr>
                <w:trHeight w:val="737"/>
              </w:trPr>
              <w:tc>
                <w:tcPr>
                  <w:tcW w:w="3431" w:type="dxa"/>
                  <w:gridSpan w:val="2"/>
                  <w:tcBorders>
                    <w:top w:val="single" w:sz="4" w:space="0" w:color="auto"/>
                    <w:left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t>1.5 Visos projekto veiklos atitinka bent vieną iš pagal Aprašą galimų remti veiklų</w:t>
                  </w:r>
                </w:p>
              </w:tc>
              <w:tc>
                <w:tcPr>
                  <w:tcW w:w="4111" w:type="dxa"/>
                  <w:tcBorders>
                    <w:top w:val="single" w:sz="4" w:space="0" w:color="auto"/>
                    <w:left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t>Kriterijus leidžia užtikrinti, kad visi projektai atitiks Aprašo nuostatas dėl pagal Aprašą remiamų veiklų.</w:t>
                  </w:r>
                </w:p>
              </w:tc>
              <w:tc>
                <w:tcPr>
                  <w:tcW w:w="1984" w:type="dxa"/>
                  <w:gridSpan w:val="2"/>
                  <w:vMerge/>
                  <w:tcBorders>
                    <w:left w:val="single" w:sz="4" w:space="0" w:color="auto"/>
                    <w:right w:val="single" w:sz="4" w:space="0" w:color="auto"/>
                  </w:tcBorders>
                </w:tcPr>
                <w:p w:rsidR="00C7212C" w:rsidRPr="001D43EA" w:rsidRDefault="00C7212C" w:rsidP="00011D1A">
                  <w:pPr>
                    <w:spacing w:line="256" w:lineRule="auto"/>
                    <w:jc w:val="center"/>
                    <w:rPr>
                      <w:rFonts w:ascii="Times New Roman" w:hAnsi="Times New Roman"/>
                      <w:bCs/>
                    </w:rPr>
                  </w:pPr>
                </w:p>
              </w:tc>
            </w:tr>
            <w:tr w:rsidR="00C7212C" w:rsidRPr="001D43EA" w:rsidTr="00011D1A">
              <w:trPr>
                <w:trHeight w:val="714"/>
              </w:trPr>
              <w:tc>
                <w:tcPr>
                  <w:tcW w:w="3431" w:type="dxa"/>
                  <w:gridSpan w:val="2"/>
                  <w:tcBorders>
                    <w:top w:val="single" w:sz="4" w:space="0" w:color="auto"/>
                    <w:left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t>1.6 Projekto pareiškėju ar partneriu yra nevyriausybinė organizacija ar socialinis partneris</w:t>
                  </w:r>
                </w:p>
              </w:tc>
              <w:tc>
                <w:tcPr>
                  <w:tcW w:w="4111" w:type="dxa"/>
                  <w:tcBorders>
                    <w:top w:val="single" w:sz="4" w:space="0" w:color="auto"/>
                    <w:left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t>Kriterijus leidžia užtikrinti, kad projektai atitiks Aprašo 24.2 papunkčio reikalavimą</w:t>
                  </w:r>
                  <w:r>
                    <w:rPr>
                      <w:rFonts w:ascii="Times New Roman" w:hAnsi="Times New Roman"/>
                      <w:color w:val="000000"/>
                    </w:rPr>
                    <w:t xml:space="preserve"> </w:t>
                  </w:r>
                  <w:r w:rsidRPr="001D43EA">
                    <w:rPr>
                      <w:rFonts w:ascii="Times New Roman" w:hAnsi="Times New Roman"/>
                      <w:color w:val="000000"/>
                    </w:rPr>
                    <w:t>projektams.</w:t>
                  </w:r>
                </w:p>
                <w:p w:rsidR="00C7212C" w:rsidRPr="001D43EA" w:rsidRDefault="00C7212C" w:rsidP="00011D1A">
                  <w:pPr>
                    <w:jc w:val="both"/>
                    <w:rPr>
                      <w:rFonts w:ascii="Times New Roman" w:hAnsi="Times New Roman"/>
                      <w:color w:val="000000"/>
                    </w:rPr>
                  </w:pPr>
                  <w:r w:rsidRPr="001D43EA">
                    <w:rPr>
                      <w:rFonts w:ascii="Times New Roman" w:hAnsi="Times New Roman"/>
                      <w:color w:val="000000"/>
                    </w:rPr>
                    <w:t>Šis kriterijus ypatingai aktualus tuo atveju, kai siekiama atrinkti projektus, kurie skirti įgyvendinti Strategijos veiksmus, nukreiptus į gyventojų socialinės atskirties mažinimą – pagal Aprašo 24.2 papunktį visi projektai, kurie apima Aprašo 10.1 papunktyje nurodytas veiklas, t. y. veikas, skirtas gyventojų esamai socialinei atskirčiai mažinti, turi siekti produkto rodiklio ,,</w:t>
                  </w:r>
                  <w:r w:rsidRPr="001D43EA">
                    <w:rPr>
                      <w:rFonts w:ascii="Times New Roman" w:hAnsi="Times New Roman"/>
                    </w:rPr>
                    <w:t>Projektų, kuriuos visiškai arba iš dalies įgyvendino socialiniai partneriai ar NVO, skaičius“</w:t>
                  </w:r>
                </w:p>
              </w:tc>
              <w:tc>
                <w:tcPr>
                  <w:tcW w:w="1984" w:type="dxa"/>
                  <w:gridSpan w:val="2"/>
                  <w:vMerge/>
                  <w:tcBorders>
                    <w:left w:val="single" w:sz="4" w:space="0" w:color="auto"/>
                    <w:right w:val="single" w:sz="4" w:space="0" w:color="auto"/>
                  </w:tcBorders>
                </w:tcPr>
                <w:p w:rsidR="00C7212C" w:rsidRPr="001D43EA" w:rsidRDefault="00C7212C" w:rsidP="00011D1A">
                  <w:pPr>
                    <w:spacing w:line="256" w:lineRule="auto"/>
                    <w:jc w:val="center"/>
                    <w:rPr>
                      <w:rFonts w:ascii="Times New Roman" w:hAnsi="Times New Roman"/>
                      <w:bCs/>
                    </w:rPr>
                  </w:pPr>
                </w:p>
              </w:tc>
            </w:tr>
            <w:tr w:rsidR="00C7212C" w:rsidRPr="001D43EA" w:rsidTr="00011D1A">
              <w:trPr>
                <w:trHeight w:val="518"/>
              </w:trPr>
              <w:tc>
                <w:tcPr>
                  <w:tcW w:w="3431" w:type="dxa"/>
                  <w:gridSpan w:val="2"/>
                  <w:tcBorders>
                    <w:top w:val="single" w:sz="4" w:space="0" w:color="auto"/>
                    <w:left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t>1.7 Projekto pareiškėjas ir partneris atitinka Apraše nustatytus reikalavimus ,,X“</w:t>
                  </w:r>
                </w:p>
              </w:tc>
              <w:tc>
                <w:tcPr>
                  <w:tcW w:w="4111" w:type="dxa"/>
                  <w:tcBorders>
                    <w:top w:val="single" w:sz="4" w:space="0" w:color="auto"/>
                    <w:left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t>Kriterijus leidžia užtikrinti, kad visi atrinktų vietos plėtros projektų pareiškėjai atitiks Apraše nustatytus reikalavimus pareiškėjams, partneriams.</w:t>
                  </w:r>
                </w:p>
                <w:p w:rsidR="00C7212C" w:rsidRPr="001D43EA" w:rsidRDefault="00C7212C" w:rsidP="00011D1A">
                  <w:pPr>
                    <w:jc w:val="both"/>
                    <w:rPr>
                      <w:rFonts w:ascii="Times New Roman" w:hAnsi="Times New Roman"/>
                      <w:color w:val="000000"/>
                    </w:rPr>
                  </w:pPr>
                  <w:r w:rsidRPr="001D43EA">
                    <w:rPr>
                      <w:rFonts w:ascii="Times New Roman" w:hAnsi="Times New Roman"/>
                      <w:color w:val="000000"/>
                    </w:rPr>
                    <w:lastRenderedPageBreak/>
                    <w:t>Atkreiptinas dėmesys, kad renkantis tokį kriterijų reikėtų turėti omenyje tai, kad pareiškėjo ir partnerio atitiktį Apraše nustatytiems reikalavimams vertina Agentūra. Tad iki paraiškos Agentūrai pateikimo dienos tam tikri pareiškėjo, partnerio požymiai gali pasikeisti (būti pakeisti) taip, kad pareiškėjas, partneris jau atitiks Aprašo reikalavimus, pvz., veiks ne trumpiau nei 2 metus</w:t>
                  </w:r>
                  <w:r w:rsidRPr="001D43EA">
                    <w:rPr>
                      <w:rFonts w:ascii="Times New Roman" w:hAnsi="Times New Roman"/>
                      <w:i/>
                      <w:color w:val="000000"/>
                    </w:rPr>
                    <w:t>(t. y. atitiks Aprašo 16 punkte nustatytą reikalavimą pareiškėjui);</w:t>
                  </w:r>
                  <w:r w:rsidRPr="001D43EA">
                    <w:rPr>
                      <w:rFonts w:ascii="Times New Roman" w:hAnsi="Times New Roman"/>
                      <w:color w:val="000000"/>
                    </w:rPr>
                    <w:t xml:space="preserve"> veiklą vykdys vietos plėtros strategijos įgyvendinimo teritorijoje </w:t>
                  </w:r>
                  <w:r w:rsidRPr="001D43EA">
                    <w:rPr>
                      <w:rFonts w:ascii="Times New Roman" w:hAnsi="Times New Roman"/>
                      <w:i/>
                      <w:color w:val="000000"/>
                    </w:rPr>
                    <w:t>(t. y. atitiks Aprašo 13 punkte nustatytus reikalavimus pareiškėjams)</w:t>
                  </w:r>
                  <w:r w:rsidRPr="001D43EA">
                    <w:rPr>
                      <w:rFonts w:ascii="Times New Roman" w:hAnsi="Times New Roman"/>
                      <w:color w:val="000000"/>
                    </w:rPr>
                    <w:t>ir pan.</w:t>
                  </w:r>
                </w:p>
                <w:p w:rsidR="00C7212C" w:rsidRPr="001D43EA" w:rsidRDefault="00C7212C" w:rsidP="00011D1A">
                  <w:pPr>
                    <w:jc w:val="both"/>
                    <w:rPr>
                      <w:rFonts w:ascii="Times New Roman" w:hAnsi="Times New Roman"/>
                      <w:color w:val="000000"/>
                    </w:rPr>
                  </w:pPr>
                  <w:r w:rsidRPr="001D43EA">
                    <w:rPr>
                      <w:rFonts w:ascii="Times New Roman" w:hAnsi="Times New Roman"/>
                      <w:color w:val="000000"/>
                    </w:rPr>
                    <w:t xml:space="preserve">Todėl atrankos kriterijų dėl pareiškėjo, partnerio atitikties Aprašo reikalavimams labiausiai aktualu rinktis tuo atveju, kai egzistuoja didelė tikimybė, jog tam tikri pareiškėjo, partnerio požymiai, pagal kuriuos vertinama pareiškėjo, partnerio atitiktis Aprašo reikalavimams, iki paraiškos teikimo Agentūrai dienos negalės būti pakeisti (nepasikeis). </w:t>
                  </w:r>
                </w:p>
                <w:p w:rsidR="00C7212C" w:rsidRPr="001D43EA" w:rsidRDefault="00C7212C" w:rsidP="00011D1A">
                  <w:pPr>
                    <w:jc w:val="both"/>
                    <w:rPr>
                      <w:rFonts w:ascii="Times New Roman" w:hAnsi="Times New Roman"/>
                      <w:color w:val="000000"/>
                    </w:rPr>
                  </w:pPr>
                  <w:r w:rsidRPr="001D43EA">
                    <w:rPr>
                      <w:rFonts w:ascii="Times New Roman" w:hAnsi="Times New Roman"/>
                      <w:color w:val="000000"/>
                    </w:rPr>
                    <w:t xml:space="preserve">Pvz.:1) vadovaujantis Aprašo 13 ir 15 papunkčių nuostatomis, projekto pareiškėju gali būti juridinis asmuo, kurio veiklos vykdymo vieta yra vietos plėtros strategijos įgyvendinimo teritorija, ir juridinio asmens filialas ar atstovybė, </w:t>
                  </w:r>
                  <w:r w:rsidRPr="001D43EA">
                    <w:rPr>
                      <w:rFonts w:ascii="Times New Roman" w:hAnsi="Times New Roman"/>
                    </w:rPr>
                    <w:t xml:space="preserve">jeigu tas filialas ar atstovybė veiklą vykdo vietos plėtros strategijos įgyvendinimo teritorijoje. Vadovaujantis Aprašo 14 ir 15 papunkčių nuostatomis partneriu gali būti </w:t>
                  </w:r>
                  <w:r w:rsidRPr="001D43EA">
                    <w:rPr>
                      <w:rFonts w:ascii="Times New Roman" w:hAnsi="Times New Roman"/>
                      <w:color w:val="000000"/>
                    </w:rPr>
                    <w:t xml:space="preserve">juridinis asmuo, kurio veiklos vykdymo vieta yra vietos plėtros strategijos įgyvendinimo teritorija ar besiribojanti teritorija, ir juridinio asmens filialas ar atstovybė, </w:t>
                  </w:r>
                  <w:r w:rsidRPr="001D43EA">
                    <w:rPr>
                      <w:rFonts w:ascii="Times New Roman" w:hAnsi="Times New Roman"/>
                    </w:rPr>
                    <w:t>jeigu tas filialas ar atstovybė veiklą vykdo vietos plėtros strategijos įgyvendinimo teritorijoje ar besiribojančioje teritorijoje.</w:t>
                  </w:r>
                </w:p>
                <w:p w:rsidR="00C7212C" w:rsidRPr="001D43EA" w:rsidRDefault="00C7212C" w:rsidP="005F4652">
                  <w:pPr>
                    <w:pStyle w:val="Sraopastraipa"/>
                    <w:ind w:left="0" w:firstLine="360"/>
                    <w:jc w:val="both"/>
                    <w:rPr>
                      <w:rFonts w:ascii="Times New Roman" w:hAnsi="Times New Roman"/>
                    </w:rPr>
                  </w:pPr>
                  <w:r w:rsidRPr="001D43EA">
                    <w:rPr>
                      <w:rFonts w:ascii="Times New Roman" w:hAnsi="Times New Roman"/>
                      <w:color w:val="000000"/>
                    </w:rPr>
                    <w:t xml:space="preserve">Juridinio asmens ar jo filialo, atstovybės veiklos vykdymo vieta greičiausiai artimiausiu metu nesikeis, tad atrankos kriterijumi tikslinga būtų rinktis reikalavimą, kad pareiškėjas ir partneris </w:t>
                  </w:r>
                  <w:r w:rsidRPr="001D43EA">
                    <w:rPr>
                      <w:rFonts w:ascii="Times New Roman" w:hAnsi="Times New Roman"/>
                      <w:color w:val="000000"/>
                    </w:rPr>
                    <w:lastRenderedPageBreak/>
                    <w:t xml:space="preserve">atitiktų pirmiau nurodytus Aprašo reikalavimus galimiems pareiškėjams, partneriams. 2) vadovaujantis Aprašo 13.1, 13.3 ir 14.3-14.4 papunkčių nuostatomis, </w:t>
                  </w:r>
                  <w:r w:rsidRPr="001D43EA">
                    <w:rPr>
                      <w:rFonts w:ascii="Times New Roman" w:hAnsi="Times New Roman"/>
                    </w:rPr>
                    <w:t xml:space="preserve">projektų, apimančių Aprašo 10.3 papunktyje nurodytas veiklas </w:t>
                  </w:r>
                  <w:r w:rsidRPr="001D43EA">
                    <w:rPr>
                      <w:rFonts w:ascii="Times New Roman" w:hAnsi="Times New Roman"/>
                      <w:i/>
                    </w:rPr>
                    <w:t>(t. y. veiklas, skirtas įgyvendinti bendruomenės verslumui didinti (t. y. verslo kūrimui ir pradedamo verslo plėtojimui reikalingiems gebėjimams stiprinti) skirtas neformalias iniciatyvas)</w:t>
                  </w:r>
                  <w:r w:rsidRPr="001D43EA">
                    <w:rPr>
                      <w:rFonts w:ascii="Times New Roman" w:hAnsi="Times New Roman"/>
                    </w:rPr>
                    <w:t xml:space="preserve">, </w:t>
                  </w:r>
                  <w:r w:rsidRPr="001D43EA">
                    <w:rPr>
                      <w:rFonts w:ascii="Times New Roman" w:hAnsi="Times New Roman"/>
                      <w:b/>
                    </w:rPr>
                    <w:t>pareiškėjais negali būti</w:t>
                  </w:r>
                  <w:r w:rsidRPr="001D43EA">
                    <w:rPr>
                      <w:rFonts w:ascii="Times New Roman" w:hAnsi="Times New Roman"/>
                    </w:rPr>
                    <w:t xml:space="preserve"> juridiniai asmenys, kurių savininke yra valstybė ar savivaldybė arba kurių visuotiniame akcininkų susirinkime, visuotiniame dalininkų susirinkime ar visuotiniame narių susirinkime valstybei ir (ar) savivaldybei priklauso daugiau kaip 50 procentų balsų, o </w:t>
                  </w:r>
                  <w:r w:rsidRPr="001D43EA">
                    <w:rPr>
                      <w:rFonts w:ascii="Times New Roman" w:hAnsi="Times New Roman"/>
                      <w:b/>
                    </w:rPr>
                    <w:t>partneriais negali būti</w:t>
                  </w:r>
                  <w:r w:rsidRPr="001D43EA">
                    <w:rPr>
                      <w:rFonts w:ascii="Times New Roman" w:hAnsi="Times New Roman"/>
                    </w:rPr>
                    <w:t xml:space="preserve"> savivaldybės administracija.</w:t>
                  </w:r>
                </w:p>
                <w:p w:rsidR="00C7212C" w:rsidRPr="001D43EA" w:rsidRDefault="00C7212C" w:rsidP="00011D1A">
                  <w:pPr>
                    <w:jc w:val="both"/>
                    <w:rPr>
                      <w:rFonts w:ascii="Times New Roman" w:hAnsi="Times New Roman"/>
                      <w:color w:val="000000"/>
                    </w:rPr>
                  </w:pPr>
                  <w:r w:rsidRPr="001D43EA">
                    <w:rPr>
                      <w:rFonts w:ascii="Times New Roman" w:hAnsi="Times New Roman"/>
                      <w:color w:val="000000"/>
                    </w:rPr>
                    <w:t xml:space="preserve">Todėl siekiant atrinkti vietos plėtros projektus, nukreiptus į bendruomenės verslumo didinimą ir apimančius Aprašo 10.3 papunktyje nurodytas veiklas, projektų atrankos kriterijumi galėtų būti: ,,Projekto pareiškėju yra juridinis asmuo, kurio </w:t>
                  </w:r>
                  <w:r w:rsidRPr="001D43EA">
                    <w:rPr>
                      <w:rFonts w:ascii="Times New Roman" w:hAnsi="Times New Roman"/>
                    </w:rPr>
                    <w:t>savininke nėra valstybė ar savivaldybė arba kurio visuotiniame akcininkų susirinkime, visuotiniame dalininkų susirinkime ar visuotiniame narių susirinkime valstybei ir (ar) savivaldybei priklauso ne daugiau kaip 50 procentų balsų, o projekto pareiškėju nėra savivaldybės administracija.“</w:t>
                  </w:r>
                </w:p>
              </w:tc>
              <w:tc>
                <w:tcPr>
                  <w:tcW w:w="1984" w:type="dxa"/>
                  <w:gridSpan w:val="2"/>
                  <w:vMerge/>
                  <w:tcBorders>
                    <w:left w:val="single" w:sz="4" w:space="0" w:color="auto"/>
                    <w:right w:val="single" w:sz="4" w:space="0" w:color="auto"/>
                  </w:tcBorders>
                </w:tcPr>
                <w:p w:rsidR="00C7212C" w:rsidRPr="001D43EA" w:rsidRDefault="00C7212C" w:rsidP="00011D1A">
                  <w:pPr>
                    <w:spacing w:line="256" w:lineRule="auto"/>
                    <w:jc w:val="center"/>
                    <w:rPr>
                      <w:rFonts w:ascii="Times New Roman" w:hAnsi="Times New Roman"/>
                      <w:bCs/>
                    </w:rPr>
                  </w:pPr>
                </w:p>
              </w:tc>
            </w:tr>
            <w:tr w:rsidR="00C7212C" w:rsidRPr="001D43EA" w:rsidTr="00011D1A">
              <w:trPr>
                <w:trHeight w:val="1820"/>
              </w:trPr>
              <w:tc>
                <w:tcPr>
                  <w:tcW w:w="3431" w:type="dxa"/>
                  <w:gridSpan w:val="2"/>
                  <w:tcBorders>
                    <w:top w:val="single" w:sz="4" w:space="0" w:color="auto"/>
                    <w:left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lastRenderedPageBreak/>
                    <w:t>1.8 Projekto biudžeto išlaidos yra būtinos projektui įgyvendinti.</w:t>
                  </w:r>
                </w:p>
              </w:tc>
              <w:tc>
                <w:tcPr>
                  <w:tcW w:w="4111" w:type="dxa"/>
                  <w:tcBorders>
                    <w:top w:val="single" w:sz="4" w:space="0" w:color="auto"/>
                    <w:left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t xml:space="preserve">Kriterijus leidžia sukurti prielaidas, kad miesto VVG vietos plėtros projektų sąraše visiems atrinktiems projektams numatys adekvačias maksimaliai galimas paramos lėšų sumas. </w:t>
                  </w:r>
                </w:p>
              </w:tc>
              <w:tc>
                <w:tcPr>
                  <w:tcW w:w="1984" w:type="dxa"/>
                  <w:gridSpan w:val="2"/>
                  <w:vMerge/>
                  <w:tcBorders>
                    <w:left w:val="single" w:sz="4" w:space="0" w:color="auto"/>
                    <w:right w:val="single" w:sz="4" w:space="0" w:color="auto"/>
                  </w:tcBorders>
                </w:tcPr>
                <w:p w:rsidR="00C7212C" w:rsidRPr="001D43EA" w:rsidRDefault="00C7212C" w:rsidP="00011D1A">
                  <w:pPr>
                    <w:spacing w:line="256" w:lineRule="auto"/>
                    <w:jc w:val="center"/>
                    <w:rPr>
                      <w:rFonts w:ascii="Times New Roman" w:hAnsi="Times New Roman"/>
                      <w:bCs/>
                    </w:rPr>
                  </w:pPr>
                </w:p>
              </w:tc>
            </w:tr>
            <w:tr w:rsidR="00C7212C" w:rsidRPr="001D43EA" w:rsidTr="00011D1A">
              <w:trPr>
                <w:trHeight w:val="910"/>
              </w:trPr>
              <w:tc>
                <w:tcPr>
                  <w:tcW w:w="3431" w:type="dxa"/>
                  <w:gridSpan w:val="2"/>
                  <w:tcBorders>
                    <w:top w:val="single" w:sz="4" w:space="0" w:color="auto"/>
                    <w:left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t>1.9 Pareiškėjo ir partnerio (-</w:t>
                  </w:r>
                  <w:proofErr w:type="spellStart"/>
                  <w:r w:rsidRPr="001D43EA">
                    <w:rPr>
                      <w:rFonts w:ascii="Times New Roman" w:hAnsi="Times New Roman"/>
                      <w:color w:val="000000"/>
                    </w:rPr>
                    <w:t>ių</w:t>
                  </w:r>
                  <w:proofErr w:type="spellEnd"/>
                  <w:r w:rsidRPr="001D43EA">
                    <w:rPr>
                      <w:rFonts w:ascii="Times New Roman" w:hAnsi="Times New Roman"/>
                      <w:color w:val="000000"/>
                    </w:rPr>
                    <w:t>) įnašo projekte procentinė dalis yra ne mažesnė už ,,X“ proc. nuo visų projekto finansavimo lėšų.</w:t>
                  </w:r>
                </w:p>
              </w:tc>
              <w:tc>
                <w:tcPr>
                  <w:tcW w:w="4111" w:type="dxa"/>
                  <w:tcBorders>
                    <w:top w:val="single" w:sz="4" w:space="0" w:color="auto"/>
                    <w:left w:val="single" w:sz="4" w:space="0" w:color="auto"/>
                    <w:right w:val="single" w:sz="4" w:space="0" w:color="auto"/>
                  </w:tcBorders>
                </w:tcPr>
                <w:p w:rsidR="00C7212C" w:rsidRPr="001D43EA" w:rsidRDefault="00C7212C" w:rsidP="00011D1A">
                  <w:pPr>
                    <w:jc w:val="both"/>
                    <w:rPr>
                      <w:rFonts w:ascii="Times New Roman" w:hAnsi="Times New Roman"/>
                      <w:color w:val="000000"/>
                    </w:rPr>
                  </w:pPr>
                  <w:r w:rsidRPr="001D43EA">
                    <w:rPr>
                      <w:rFonts w:ascii="Times New Roman" w:hAnsi="Times New Roman"/>
                      <w:color w:val="000000"/>
                    </w:rPr>
                    <w:t>Kriterijus leidžia užtikrinti:</w:t>
                  </w:r>
                </w:p>
                <w:p w:rsidR="00C7212C" w:rsidRPr="001D43EA" w:rsidRDefault="00C7212C" w:rsidP="00011D1A">
                  <w:pPr>
                    <w:ind w:firstLine="320"/>
                    <w:jc w:val="both"/>
                    <w:rPr>
                      <w:rFonts w:ascii="Times New Roman" w:hAnsi="Times New Roman"/>
                      <w:color w:val="000000"/>
                    </w:rPr>
                  </w:pPr>
                  <w:r w:rsidRPr="001D43EA">
                    <w:rPr>
                      <w:rFonts w:ascii="Times New Roman" w:hAnsi="Times New Roman"/>
                      <w:color w:val="000000"/>
                    </w:rPr>
                    <w:t xml:space="preserve">1) kad įgyvendinant konkretų Strategijos veiksmą bus pritraukta prisidėjimo lėšų </w:t>
                  </w:r>
                  <w:r w:rsidRPr="001D43EA">
                    <w:rPr>
                      <w:rFonts w:ascii="Times New Roman" w:hAnsi="Times New Roman"/>
                      <w:i/>
                      <w:color w:val="000000"/>
                    </w:rPr>
                    <w:t>(t. y. privačių lėšų, savivaldybės biudžeto lėšų ir kitų viešųjų lėšų)</w:t>
                  </w:r>
                  <w:r w:rsidRPr="001D43EA">
                    <w:rPr>
                      <w:rFonts w:ascii="Times New Roman" w:hAnsi="Times New Roman"/>
                      <w:color w:val="000000"/>
                    </w:rPr>
                    <w:t xml:space="preserve"> ne mažiau, nei tokių lėšų suplanuota Strategijos finansiniame plane konkrečiam </w:t>
                  </w:r>
                  <w:r w:rsidRPr="001D43EA">
                    <w:rPr>
                      <w:rFonts w:ascii="Times New Roman" w:hAnsi="Times New Roman"/>
                      <w:color w:val="000000"/>
                    </w:rPr>
                    <w:lastRenderedPageBreak/>
                    <w:t>Strategijos veiksmui įgyvendinti;</w:t>
                  </w:r>
                </w:p>
                <w:p w:rsidR="00C7212C" w:rsidRPr="001D43EA" w:rsidRDefault="00C7212C" w:rsidP="00011D1A">
                  <w:pPr>
                    <w:ind w:firstLine="320"/>
                    <w:jc w:val="both"/>
                    <w:rPr>
                      <w:rFonts w:ascii="Times New Roman" w:hAnsi="Times New Roman"/>
                      <w:color w:val="000000"/>
                    </w:rPr>
                  </w:pPr>
                  <w:r w:rsidRPr="001D43EA">
                    <w:rPr>
                      <w:rFonts w:ascii="Times New Roman" w:hAnsi="Times New Roman"/>
                      <w:color w:val="000000"/>
                    </w:rPr>
                    <w:t>2) visų atrinktų projektų atitiktį Aprašo 40 punkto nuostatoms. Pagal Aprašo 40 p.:</w:t>
                  </w:r>
                </w:p>
                <w:p w:rsidR="00C7212C" w:rsidRPr="001D43EA" w:rsidRDefault="00C7212C" w:rsidP="00011D1A">
                  <w:pPr>
                    <w:jc w:val="both"/>
                    <w:rPr>
                      <w:rFonts w:ascii="Times New Roman" w:hAnsi="Times New Roman"/>
                      <w:color w:val="000000"/>
                    </w:rPr>
                  </w:pPr>
                  <w:r w:rsidRPr="001D43EA">
                    <w:rPr>
                      <w:rFonts w:ascii="Times New Roman" w:hAnsi="Times New Roman"/>
                      <w:color w:val="000000"/>
                    </w:rPr>
                    <w:t>,,</w:t>
                  </w:r>
                  <w:r w:rsidRPr="001D43EA">
                    <w:rPr>
                      <w:rFonts w:ascii="Times New Roman" w:hAnsi="Times New Roman"/>
                    </w:rPr>
                    <w:t xml:space="preserve"> 40. Pareiškėjas privalo savo ir (arba) kitų šaltinių lėšomis (savivaldybių biudžeto ir (ar) privačiomis lėšomis) (toliau – pareiškėjo lėšos), ir (arba) nepiniginiu įnašu prisidėti prie projek</w:t>
                  </w:r>
                  <w:r>
                    <w:rPr>
                      <w:rFonts w:ascii="Times New Roman" w:hAnsi="Times New Roman"/>
                    </w:rPr>
                    <w:t>to finansavimo ne mažiau nei 8,0</w:t>
                  </w:r>
                  <w:r w:rsidRPr="001D43EA">
                    <w:rPr>
                      <w:rFonts w:ascii="Times New Roman" w:hAnsi="Times New Roman"/>
                    </w:rPr>
                    <w:t xml:space="preserve"> proc. visų tinkamų finansuoti projekto išlaidų. Jeigu vietos plėtros strategijos dalyje </w:t>
                  </w:r>
                  <w:r w:rsidRPr="001D43EA">
                    <w:rPr>
                      <w:rFonts w:ascii="Times New Roman" w:hAnsi="Times New Roman"/>
                      <w:color w:val="000000"/>
                    </w:rPr>
                    <w:t xml:space="preserve">„Vietos plėtros strategijos finansinis planas“ </w:t>
                  </w:r>
                  <w:r w:rsidRPr="001D43EA">
                    <w:rPr>
                      <w:rFonts w:ascii="Times New Roman" w:hAnsi="Times New Roman"/>
                    </w:rPr>
                    <w:t xml:space="preserve">veiksmo, kuriam įgyvendinti skirtas projektas, </w:t>
                  </w:r>
                  <w:r w:rsidRPr="001D43EA">
                    <w:rPr>
                      <w:rFonts w:ascii="Times New Roman" w:hAnsi="Times New Roman"/>
                      <w:color w:val="000000"/>
                    </w:rPr>
                    <w:t>išlaidoms buvo nurodytas didesnis nei 7,5 proc. pareiškėjo lėšų prisidėjimo procentas, pareiškėjas privalo prisidėti prie projekto finansavimo</w:t>
                  </w:r>
                  <w:r w:rsidRPr="001D43EA">
                    <w:rPr>
                      <w:rFonts w:ascii="Times New Roman" w:hAnsi="Times New Roman"/>
                    </w:rPr>
                    <w:t xml:space="preserve"> ne mažesniu nei </w:t>
                  </w:r>
                  <w:r w:rsidRPr="001D43EA">
                    <w:rPr>
                      <w:rFonts w:ascii="Times New Roman" w:hAnsi="Times New Roman"/>
                      <w:color w:val="000000"/>
                    </w:rPr>
                    <w:t>minėtos vietos plėtros strategijos dalyje veiksmui nurodytu procentu</w:t>
                  </w:r>
                  <w:r w:rsidRPr="001D43EA">
                    <w:rPr>
                      <w:rFonts w:ascii="Times New Roman" w:hAnsi="Times New Roman"/>
                    </w:rPr>
                    <w:t>.“</w:t>
                  </w:r>
                </w:p>
              </w:tc>
              <w:tc>
                <w:tcPr>
                  <w:tcW w:w="1984" w:type="dxa"/>
                  <w:gridSpan w:val="2"/>
                  <w:vMerge/>
                  <w:tcBorders>
                    <w:left w:val="single" w:sz="4" w:space="0" w:color="auto"/>
                    <w:right w:val="single" w:sz="4" w:space="0" w:color="auto"/>
                  </w:tcBorders>
                </w:tcPr>
                <w:p w:rsidR="00C7212C" w:rsidRPr="001D43EA" w:rsidRDefault="00C7212C" w:rsidP="00011D1A">
                  <w:pPr>
                    <w:spacing w:line="256" w:lineRule="auto"/>
                    <w:jc w:val="center"/>
                    <w:rPr>
                      <w:rFonts w:ascii="Times New Roman" w:hAnsi="Times New Roman"/>
                      <w:bCs/>
                    </w:rPr>
                  </w:pPr>
                </w:p>
              </w:tc>
            </w:tr>
            <w:tr w:rsidR="00C7212C" w:rsidRPr="001D43EA" w:rsidTr="00011D1A">
              <w:trPr>
                <w:trHeight w:val="276"/>
              </w:trPr>
              <w:tc>
                <w:tcPr>
                  <w:tcW w:w="9526" w:type="dxa"/>
                  <w:gridSpan w:val="5"/>
                  <w:tcBorders>
                    <w:top w:val="single" w:sz="4" w:space="0" w:color="auto"/>
                    <w:left w:val="single" w:sz="4" w:space="0" w:color="auto"/>
                    <w:bottom w:val="single" w:sz="4" w:space="0" w:color="auto"/>
                    <w:right w:val="single" w:sz="4" w:space="0" w:color="auto"/>
                  </w:tcBorders>
                </w:tcPr>
                <w:p w:rsidR="00C7212C" w:rsidRPr="001D43EA" w:rsidRDefault="00C7212C" w:rsidP="00C7212C">
                  <w:pPr>
                    <w:pStyle w:val="Sraopastraipa"/>
                    <w:numPr>
                      <w:ilvl w:val="0"/>
                      <w:numId w:val="1"/>
                    </w:numPr>
                    <w:spacing w:after="0" w:line="240" w:lineRule="auto"/>
                    <w:jc w:val="both"/>
                    <w:rPr>
                      <w:rFonts w:ascii="Times New Roman" w:hAnsi="Times New Roman"/>
                      <w:b/>
                      <w:color w:val="000000"/>
                    </w:rPr>
                  </w:pPr>
                  <w:r w:rsidRPr="001D43EA">
                    <w:rPr>
                      <w:rFonts w:ascii="Times New Roman" w:hAnsi="Times New Roman"/>
                      <w:b/>
                      <w:color w:val="000000"/>
                    </w:rPr>
                    <w:lastRenderedPageBreak/>
                    <w:t>PRIORITETINIAI PROJEKTŲ ATRANKOS KRITERIJAI*:</w:t>
                  </w:r>
                </w:p>
                <w:p w:rsidR="00C7212C" w:rsidRPr="001D43EA" w:rsidRDefault="00C7212C" w:rsidP="00011D1A">
                  <w:pPr>
                    <w:jc w:val="both"/>
                    <w:rPr>
                      <w:rFonts w:ascii="Times New Roman" w:hAnsi="Times New Roman"/>
                      <w:color w:val="000000"/>
                    </w:rPr>
                  </w:pPr>
                  <w:r w:rsidRPr="001D43EA">
                    <w:rPr>
                      <w:rFonts w:ascii="Times New Roman" w:hAnsi="Times New Roman"/>
                      <w:color w:val="000000"/>
                    </w:rPr>
                    <w:t>*</w:t>
                  </w:r>
                  <w:r w:rsidRPr="001D43EA">
                    <w:rPr>
                      <w:rFonts w:ascii="Times New Roman" w:hAnsi="Times New Roman"/>
                    </w:rPr>
                    <w:t xml:space="preserve"> </w:t>
                  </w:r>
                  <w:r w:rsidRPr="001D43EA">
                    <w:rPr>
                      <w:rFonts w:ascii="Times New Roman" w:hAnsi="Times New Roman"/>
                      <w:i/>
                    </w:rPr>
                    <w:t xml:space="preserve">Prioritetiniai projektų atrankos kriterijai yra skirti </w:t>
                  </w:r>
                  <w:r w:rsidRPr="001D43EA">
                    <w:rPr>
                      <w:rFonts w:ascii="Times New Roman" w:hAnsi="Times New Roman"/>
                      <w:i/>
                      <w:color w:val="000000"/>
                    </w:rPr>
                    <w:t xml:space="preserve">sudaryti vietos plėtros projektų, kurie atitinka visus bendruosius projektų atrankos kriterijus, prioritetinę eilę prioriteto mažėjimo tvarka. Minimaliai privaloma surinkti balų suma – </w:t>
                  </w:r>
                  <w:r w:rsidRPr="001D43EA">
                    <w:rPr>
                      <w:rFonts w:ascii="Times New Roman" w:hAnsi="Times New Roman"/>
                      <w:i/>
                      <w:color w:val="000000"/>
                      <w:u w:val="single"/>
                    </w:rPr>
                    <w:t xml:space="preserve"> </w:t>
                  </w:r>
                  <w:r w:rsidRPr="001D43EA">
                    <w:rPr>
                      <w:rFonts w:ascii="Times New Roman" w:hAnsi="Times New Roman"/>
                      <w:i/>
                      <w:color w:val="000000"/>
                    </w:rPr>
                    <w:t xml:space="preserve"> balų. Projektų, kurie nesurinks  _ balų, VVG netrauks nei į VVG siūlomų finansuoti vietos plėtros projektų sąrašą, nei į rezervinį vietos plėtros projektų sąrašą</w:t>
                  </w:r>
                </w:p>
              </w:tc>
            </w:tr>
            <w:tr w:rsidR="00C7212C" w:rsidRPr="001D43EA" w:rsidTr="00011D1A">
              <w:trPr>
                <w:trHeight w:val="761"/>
              </w:trPr>
              <w:tc>
                <w:tcPr>
                  <w:tcW w:w="2722" w:type="dxa"/>
                  <w:tcBorders>
                    <w:top w:val="single" w:sz="4" w:space="0" w:color="auto"/>
                    <w:left w:val="single" w:sz="4" w:space="0" w:color="auto"/>
                    <w:bottom w:val="single" w:sz="4" w:space="0" w:color="auto"/>
                    <w:right w:val="single" w:sz="4" w:space="0" w:color="auto"/>
                  </w:tcBorders>
                </w:tcPr>
                <w:p w:rsidR="00C7212C" w:rsidRPr="001D43EA" w:rsidRDefault="00C7212C" w:rsidP="00011D1A">
                  <w:pPr>
                    <w:spacing w:line="256" w:lineRule="auto"/>
                    <w:rPr>
                      <w:rFonts w:ascii="Times New Roman" w:hAnsi="Times New Roman"/>
                      <w:b/>
                      <w:bCs/>
                      <w:lang w:eastAsia="lt-LT"/>
                    </w:rPr>
                  </w:pPr>
                  <w:bookmarkStart w:id="0" w:name="_Hlk532451354"/>
                  <w:r w:rsidRPr="001D43EA">
                    <w:rPr>
                      <w:rFonts w:ascii="Times New Roman" w:hAnsi="Times New Roman"/>
                      <w:b/>
                      <w:bCs/>
                      <w:lang w:eastAsia="lt-LT"/>
                    </w:rPr>
                    <w:t xml:space="preserve">2.1. </w:t>
                  </w:r>
                  <w:r w:rsidRPr="001D43EA">
                    <w:rPr>
                      <w:rFonts w:ascii="Times New Roman" w:hAnsi="Times New Roman"/>
                      <w:color w:val="000000"/>
                    </w:rPr>
                    <w:t>Paslaugų teikimo reguliarumas / intensyvumas</w:t>
                  </w:r>
                </w:p>
              </w:tc>
              <w:tc>
                <w:tcPr>
                  <w:tcW w:w="5670" w:type="dxa"/>
                  <w:gridSpan w:val="3"/>
                  <w:tcBorders>
                    <w:top w:val="single" w:sz="4" w:space="0" w:color="auto"/>
                    <w:left w:val="single" w:sz="4" w:space="0" w:color="auto"/>
                    <w:bottom w:val="single" w:sz="4" w:space="0" w:color="auto"/>
                    <w:right w:val="single" w:sz="4" w:space="0" w:color="auto"/>
                  </w:tcBorders>
                </w:tcPr>
                <w:p w:rsidR="00C7212C" w:rsidRPr="001D43EA" w:rsidRDefault="00C7212C" w:rsidP="00011D1A">
                  <w:pPr>
                    <w:spacing w:line="256" w:lineRule="auto"/>
                    <w:jc w:val="both"/>
                    <w:rPr>
                      <w:rFonts w:ascii="Times New Roman" w:hAnsi="Times New Roman"/>
                      <w:bCs/>
                      <w:lang w:eastAsia="lt-LT"/>
                    </w:rPr>
                  </w:pPr>
                  <w:r w:rsidRPr="001D43EA">
                    <w:rPr>
                      <w:rFonts w:ascii="Times New Roman" w:hAnsi="Times New Roman"/>
                      <w:iCs/>
                    </w:rPr>
                    <w:t xml:space="preserve">Prioritetas teikiamas projektams, kuriuos vykdant numatomas pakankamai reguliarus / intensyvus </w:t>
                  </w:r>
                  <w:r w:rsidRPr="001D43EA">
                    <w:rPr>
                      <w:rFonts w:ascii="Times New Roman" w:hAnsi="Times New Roman"/>
                      <w:bCs/>
                      <w:lang w:eastAsia="lt-LT"/>
                    </w:rPr>
                    <w:t>paslaugų tikslinei grupei teikimas.</w:t>
                  </w:r>
                </w:p>
                <w:p w:rsidR="00C7212C" w:rsidRPr="001D43EA" w:rsidRDefault="00C7212C" w:rsidP="00011D1A">
                  <w:pPr>
                    <w:spacing w:line="256" w:lineRule="auto"/>
                    <w:jc w:val="both"/>
                    <w:rPr>
                      <w:rFonts w:ascii="Times New Roman" w:hAnsi="Times New Roman"/>
                      <w:b/>
                      <w:bCs/>
                      <w:lang w:eastAsia="lt-LT"/>
                    </w:rPr>
                  </w:pPr>
                  <w:r w:rsidRPr="001D43EA">
                    <w:rPr>
                      <w:rFonts w:ascii="Times New Roman" w:hAnsi="Times New Roman"/>
                      <w:b/>
                      <w:bCs/>
                      <w:lang w:eastAsia="lt-LT"/>
                    </w:rPr>
                    <w:t>Projektams skirtini balai nustatomi tokia tvarka:</w:t>
                  </w:r>
                </w:p>
                <w:p w:rsidR="00C7212C" w:rsidRPr="001D43EA" w:rsidRDefault="00C7212C" w:rsidP="00011D1A">
                  <w:pPr>
                    <w:spacing w:line="256" w:lineRule="auto"/>
                    <w:jc w:val="both"/>
                    <w:rPr>
                      <w:rFonts w:ascii="Times New Roman" w:hAnsi="Times New Roman"/>
                      <w:bCs/>
                      <w:lang w:eastAsia="lt-LT"/>
                    </w:rPr>
                  </w:pPr>
                  <w:r w:rsidRPr="001D43EA">
                    <w:rPr>
                      <w:rFonts w:ascii="Times New Roman" w:hAnsi="Times New Roman"/>
                      <w:bCs/>
                      <w:lang w:eastAsia="lt-LT"/>
                    </w:rPr>
                    <w:t>20 balų skiriama projektams, kuriuos vykdant numatomas pakankamai reguliarus  / intensyvus bent vienos paslaugos teikimas visoms projekto tikslinėms grupėms.</w:t>
                  </w:r>
                </w:p>
                <w:p w:rsidR="00C7212C" w:rsidRPr="001D43EA" w:rsidRDefault="00C7212C" w:rsidP="00011D1A">
                  <w:pPr>
                    <w:spacing w:line="256" w:lineRule="auto"/>
                    <w:jc w:val="both"/>
                    <w:rPr>
                      <w:rFonts w:ascii="Times New Roman" w:hAnsi="Times New Roman"/>
                      <w:bCs/>
                      <w:lang w:eastAsia="lt-LT"/>
                    </w:rPr>
                  </w:pPr>
                  <w:r w:rsidRPr="001D43EA">
                    <w:rPr>
                      <w:rFonts w:ascii="Times New Roman" w:hAnsi="Times New Roman"/>
                      <w:bCs/>
                      <w:lang w:eastAsia="lt-LT"/>
                    </w:rPr>
                    <w:t>10 balų skiriama projektams, kuriuos vykdant numatomas pakankamai reguliarus / intensyvus paslaugų teikimas ne visoms projekto tikslinėms grupėms.</w:t>
                  </w:r>
                </w:p>
                <w:p w:rsidR="00C7212C" w:rsidRPr="001D43EA" w:rsidRDefault="00C7212C" w:rsidP="00011D1A">
                  <w:pPr>
                    <w:spacing w:line="256" w:lineRule="auto"/>
                    <w:jc w:val="both"/>
                    <w:rPr>
                      <w:rFonts w:ascii="Times New Roman" w:hAnsi="Times New Roman"/>
                      <w:bCs/>
                      <w:lang w:eastAsia="lt-LT"/>
                    </w:rPr>
                  </w:pPr>
                  <w:r w:rsidRPr="001D43EA">
                    <w:rPr>
                      <w:rFonts w:ascii="Times New Roman" w:hAnsi="Times New Roman"/>
                      <w:bCs/>
                      <w:lang w:eastAsia="lt-LT"/>
                    </w:rPr>
                    <w:t>Balai neskiriami projektams, kuriuos vykdant  numatomas nepakankamai reguliaraus  / intensyvus paslaugų teikimas visoms projekto  tikslinėms grupėms.</w:t>
                  </w:r>
                </w:p>
                <w:p w:rsidR="00C7212C" w:rsidRPr="001D43EA" w:rsidRDefault="00C7212C" w:rsidP="00011D1A">
                  <w:pPr>
                    <w:spacing w:line="256" w:lineRule="auto"/>
                    <w:jc w:val="both"/>
                    <w:rPr>
                      <w:rFonts w:ascii="Times New Roman" w:hAnsi="Times New Roman"/>
                      <w:b/>
                      <w:bCs/>
                      <w:lang w:eastAsia="lt-LT"/>
                    </w:rPr>
                  </w:pPr>
                  <w:r w:rsidRPr="001D43EA">
                    <w:rPr>
                      <w:rFonts w:ascii="Times New Roman" w:hAnsi="Times New Roman"/>
                      <w:b/>
                      <w:i/>
                      <w:iCs/>
                    </w:rPr>
                    <w:t>Vartojamų sąvokų paaiškinimas</w:t>
                  </w:r>
                  <w:r w:rsidRPr="001D43EA">
                    <w:rPr>
                      <w:rFonts w:ascii="Times New Roman" w:hAnsi="Times New Roman"/>
                      <w:iCs/>
                    </w:rPr>
                    <w:t>:</w:t>
                  </w:r>
                </w:p>
                <w:p w:rsidR="00C7212C" w:rsidRPr="001D43EA" w:rsidRDefault="00C7212C" w:rsidP="00011D1A">
                  <w:pPr>
                    <w:spacing w:line="256" w:lineRule="auto"/>
                    <w:jc w:val="both"/>
                    <w:rPr>
                      <w:rFonts w:ascii="Times New Roman" w:hAnsi="Times New Roman"/>
                      <w:iCs/>
                    </w:rPr>
                  </w:pPr>
                  <w:r w:rsidRPr="001D43EA">
                    <w:rPr>
                      <w:rFonts w:ascii="Times New Roman" w:hAnsi="Times New Roman"/>
                      <w:bCs/>
                      <w:lang w:eastAsia="lt-LT"/>
                    </w:rPr>
                    <w:t>Laikoma, kad paslauga teikiama pakankamai reguliariai / intensyviai, jei ji teikiama ne mažiau nei 12 kartų / dienų ir ne rečiau kaip kartą per mėnesį.</w:t>
                  </w:r>
                </w:p>
              </w:tc>
              <w:tc>
                <w:tcPr>
                  <w:tcW w:w="1134" w:type="dxa"/>
                  <w:tcBorders>
                    <w:top w:val="single" w:sz="4" w:space="0" w:color="auto"/>
                    <w:left w:val="single" w:sz="4" w:space="0" w:color="auto"/>
                    <w:bottom w:val="single" w:sz="4" w:space="0" w:color="auto"/>
                    <w:right w:val="single" w:sz="4" w:space="0" w:color="auto"/>
                  </w:tcBorders>
                </w:tcPr>
                <w:p w:rsidR="00C7212C" w:rsidRPr="001D43EA" w:rsidRDefault="00C7212C" w:rsidP="00011D1A">
                  <w:pPr>
                    <w:spacing w:line="256" w:lineRule="auto"/>
                    <w:jc w:val="center"/>
                    <w:rPr>
                      <w:rFonts w:ascii="Times New Roman" w:hAnsi="Times New Roman"/>
                      <w:b/>
                      <w:bCs/>
                      <w:i/>
                    </w:rPr>
                  </w:pPr>
                  <w:r w:rsidRPr="001D43EA">
                    <w:rPr>
                      <w:rFonts w:ascii="Times New Roman" w:hAnsi="Times New Roman"/>
                      <w:color w:val="000000"/>
                    </w:rPr>
                    <w:t>20 balų</w:t>
                  </w:r>
                </w:p>
              </w:tc>
            </w:tr>
            <w:bookmarkEnd w:id="0"/>
            <w:tr w:rsidR="00C7212C" w:rsidRPr="001D43EA" w:rsidTr="00011D1A">
              <w:trPr>
                <w:trHeight w:val="687"/>
              </w:trPr>
              <w:tc>
                <w:tcPr>
                  <w:tcW w:w="2722" w:type="dxa"/>
                  <w:tcBorders>
                    <w:top w:val="single" w:sz="4" w:space="0" w:color="auto"/>
                    <w:left w:val="single" w:sz="4" w:space="0" w:color="auto"/>
                    <w:bottom w:val="single" w:sz="4" w:space="0" w:color="auto"/>
                    <w:right w:val="single" w:sz="4" w:space="0" w:color="auto"/>
                  </w:tcBorders>
                  <w:hideMark/>
                </w:tcPr>
                <w:p w:rsidR="00C7212C" w:rsidRPr="001D43EA" w:rsidRDefault="00C7212C" w:rsidP="00011D1A">
                  <w:pPr>
                    <w:jc w:val="both"/>
                    <w:rPr>
                      <w:rFonts w:ascii="Times New Roman" w:hAnsi="Times New Roman"/>
                      <w:color w:val="000000"/>
                    </w:rPr>
                  </w:pPr>
                  <w:r w:rsidRPr="001D43EA">
                    <w:rPr>
                      <w:rFonts w:ascii="Times New Roman" w:hAnsi="Times New Roman"/>
                      <w:b/>
                      <w:bCs/>
                      <w:lang w:eastAsia="lt-LT"/>
                    </w:rPr>
                    <w:lastRenderedPageBreak/>
                    <w:t xml:space="preserve">2.2. </w:t>
                  </w:r>
                  <w:r w:rsidRPr="001D43EA">
                    <w:rPr>
                      <w:rFonts w:ascii="Times New Roman" w:hAnsi="Times New Roman"/>
                      <w:color w:val="000000"/>
                    </w:rPr>
                    <w:t>Projekto veiklų dalyvių skaičius</w:t>
                  </w:r>
                </w:p>
              </w:tc>
              <w:tc>
                <w:tcPr>
                  <w:tcW w:w="5670" w:type="dxa"/>
                  <w:gridSpan w:val="3"/>
                  <w:tcBorders>
                    <w:top w:val="single" w:sz="4" w:space="0" w:color="auto"/>
                    <w:left w:val="single" w:sz="4" w:space="0" w:color="auto"/>
                    <w:bottom w:val="single" w:sz="4" w:space="0" w:color="auto"/>
                    <w:right w:val="single" w:sz="4" w:space="0" w:color="auto"/>
                  </w:tcBorders>
                  <w:hideMark/>
                </w:tcPr>
                <w:p w:rsidR="00C7212C" w:rsidRPr="001D43EA" w:rsidRDefault="00C7212C" w:rsidP="00011D1A">
                  <w:pPr>
                    <w:spacing w:line="256" w:lineRule="auto"/>
                    <w:jc w:val="both"/>
                    <w:rPr>
                      <w:rFonts w:ascii="Times New Roman" w:hAnsi="Times New Roman"/>
                      <w:iCs/>
                    </w:rPr>
                  </w:pPr>
                  <w:r w:rsidRPr="001D43EA">
                    <w:rPr>
                      <w:rFonts w:ascii="Times New Roman" w:hAnsi="Times New Roman"/>
                      <w:iCs/>
                    </w:rPr>
                    <w:t xml:space="preserve">Prioritetas teikiamas tam projektui, kurio projektiniame pasiūlyme numatytas įtraukti projekto veiklų dalyvių iš tikslinės grupės ,,jaunimas“ skaičius yra didesnis. </w:t>
                  </w:r>
                </w:p>
                <w:p w:rsidR="00C7212C" w:rsidRPr="001D43EA" w:rsidRDefault="00C7212C" w:rsidP="00011D1A">
                  <w:pPr>
                    <w:spacing w:line="256" w:lineRule="auto"/>
                    <w:jc w:val="both"/>
                    <w:rPr>
                      <w:rFonts w:ascii="Times New Roman" w:hAnsi="Times New Roman"/>
                      <w:b/>
                      <w:bCs/>
                      <w:lang w:eastAsia="lt-LT"/>
                    </w:rPr>
                  </w:pPr>
                  <w:r w:rsidRPr="001D43EA">
                    <w:rPr>
                      <w:rFonts w:ascii="Times New Roman" w:hAnsi="Times New Roman"/>
                      <w:b/>
                      <w:bCs/>
                      <w:lang w:eastAsia="lt-LT"/>
                    </w:rPr>
                    <w:t>Projektams skirtini balai nustatomi tokia tvarka:</w:t>
                  </w:r>
                </w:p>
                <w:p w:rsidR="00C7212C" w:rsidRPr="001D43EA" w:rsidRDefault="00C7212C" w:rsidP="00011D1A">
                  <w:pPr>
                    <w:spacing w:line="256" w:lineRule="auto"/>
                    <w:jc w:val="both"/>
                    <w:rPr>
                      <w:rFonts w:ascii="Times New Roman" w:hAnsi="Times New Roman"/>
                      <w:bCs/>
                    </w:rPr>
                  </w:pPr>
                  <w:r w:rsidRPr="001D43EA">
                    <w:rPr>
                      <w:rFonts w:ascii="Times New Roman" w:hAnsi="Times New Roman"/>
                      <w:bCs/>
                      <w:lang w:eastAsia="lt-LT"/>
                    </w:rPr>
                    <w:t xml:space="preserve">Projektams, kuriuose numatyta 30 ar daugiau projekto veiklų dalyvių iš tikslinės grupės ,,jaunimas“, skiriama 15 balų. </w:t>
                  </w:r>
                  <w:r w:rsidRPr="001D43EA">
                    <w:rPr>
                      <w:rFonts w:ascii="Times New Roman" w:hAnsi="Times New Roman"/>
                      <w:bCs/>
                    </w:rPr>
                    <w:t xml:space="preserve">Iš likusių projektų (t. y. </w:t>
                  </w:r>
                  <w:r w:rsidRPr="001D43EA">
                    <w:rPr>
                      <w:rFonts w:ascii="Times New Roman" w:hAnsi="Times New Roman"/>
                      <w:bCs/>
                      <w:lang w:eastAsia="lt-LT"/>
                    </w:rPr>
                    <w:t>projektų, kuriuose numatyta dalyvių mažiau nei 30) s</w:t>
                  </w:r>
                  <w:r w:rsidRPr="001D43EA">
                    <w:rPr>
                      <w:rFonts w:ascii="Times New Roman" w:hAnsi="Times New Roman"/>
                      <w:bCs/>
                    </w:rPr>
                    <w:t>udaromas projektų sąrašas (eilė) projekto veiklų dalyvių skaičiaus</w:t>
                  </w:r>
                  <w:r w:rsidRPr="001D43EA">
                    <w:rPr>
                      <w:rFonts w:ascii="Times New Roman" w:hAnsi="Times New Roman"/>
                      <w:bCs/>
                      <w:lang w:eastAsia="lt-LT"/>
                    </w:rPr>
                    <w:t xml:space="preserve"> mažėjimo tvarka. </w:t>
                  </w:r>
                  <w:r w:rsidRPr="001D43EA">
                    <w:rPr>
                      <w:rFonts w:ascii="Times New Roman" w:hAnsi="Times New Roman"/>
                      <w:bCs/>
                    </w:rPr>
                    <w:t xml:space="preserve">Pirmiesiems 10 proc. projektų (jei gaunama procentinė reikšmė nėra sveikasis skaičius, atliekamas apvalinimas iki sveikojo skaičiaus pagal matematines skaičių apvalinimo taisykles), esantiems sąrašo viršuje, skiriama12 balų, paskesniems20 proc. projektų – 8 balai, paskesniems 30 proc. projektų – 5 balai, paskutiniams  40 proc. – 1 balas. </w:t>
                  </w:r>
                </w:p>
                <w:p w:rsidR="00C7212C" w:rsidRPr="001D43EA" w:rsidRDefault="00C7212C" w:rsidP="00011D1A">
                  <w:pPr>
                    <w:spacing w:line="256" w:lineRule="auto"/>
                    <w:ind w:firstLine="34"/>
                    <w:jc w:val="both"/>
                    <w:rPr>
                      <w:rFonts w:ascii="Times New Roman" w:hAnsi="Times New Roman"/>
                      <w:b/>
                      <w:i/>
                      <w:iCs/>
                    </w:rPr>
                  </w:pPr>
                  <w:r w:rsidRPr="001D43EA">
                    <w:rPr>
                      <w:rFonts w:ascii="Times New Roman" w:hAnsi="Times New Roman"/>
                      <w:b/>
                      <w:i/>
                      <w:iCs/>
                    </w:rPr>
                    <w:t>Vartojamų sąvokų paaiškinimas:</w:t>
                  </w:r>
                </w:p>
                <w:p w:rsidR="00C7212C" w:rsidRPr="001D43EA" w:rsidRDefault="00C7212C" w:rsidP="00011D1A">
                  <w:pPr>
                    <w:jc w:val="both"/>
                    <w:rPr>
                      <w:rFonts w:ascii="Times New Roman" w:hAnsi="Times New Roman"/>
                    </w:rPr>
                  </w:pPr>
                  <w:r w:rsidRPr="001D43EA">
                    <w:rPr>
                      <w:rFonts w:ascii="Times New Roman" w:hAnsi="Times New Roman"/>
                      <w:i/>
                      <w:iCs/>
                      <w:u w:val="single"/>
                    </w:rPr>
                    <w:t>Projekto veiklų dalyvis</w:t>
                  </w:r>
                  <w:r w:rsidRPr="001D43EA">
                    <w:rPr>
                      <w:rFonts w:ascii="Times New Roman" w:hAnsi="Times New Roman"/>
                      <w:iCs/>
                    </w:rPr>
                    <w:t xml:space="preserve">– </w:t>
                  </w:r>
                  <w:r w:rsidRPr="001D43EA">
                    <w:rPr>
                      <w:rFonts w:ascii="Times New Roman" w:hAnsi="Times New Roman"/>
                    </w:rPr>
                    <w:t>projekto veiklose dalyvaujantis  tikslinės grupės atstovas (fizinis asmuo). Konkrečios projekto veiklos dalyviu nėra laikomas konkrečią projekto veiklą vykdantis asmuo.</w:t>
                  </w:r>
                </w:p>
                <w:p w:rsidR="00C7212C" w:rsidRPr="001D43EA" w:rsidRDefault="00C7212C" w:rsidP="00011D1A">
                  <w:pPr>
                    <w:spacing w:line="256" w:lineRule="auto"/>
                    <w:jc w:val="both"/>
                    <w:rPr>
                      <w:rFonts w:ascii="Times New Roman" w:hAnsi="Times New Roman"/>
                      <w:b/>
                      <w:i/>
                      <w:iCs/>
                    </w:rPr>
                  </w:pPr>
                  <w:r w:rsidRPr="001D43EA">
                    <w:rPr>
                      <w:rFonts w:ascii="Times New Roman" w:hAnsi="Times New Roman"/>
                      <w:i/>
                      <w:iCs/>
                      <w:u w:val="single"/>
                    </w:rPr>
                    <w:t>Jaunimas</w:t>
                  </w:r>
                  <w:r w:rsidRPr="001D43EA">
                    <w:rPr>
                      <w:rFonts w:ascii="Times New Roman" w:hAnsi="Times New Roman"/>
                      <w:iCs/>
                    </w:rPr>
                    <w:t xml:space="preserve"> – asmenys, kurių amžius nuo 16 metų iki 29 metų</w:t>
                  </w:r>
                </w:p>
              </w:tc>
              <w:tc>
                <w:tcPr>
                  <w:tcW w:w="1134" w:type="dxa"/>
                  <w:tcBorders>
                    <w:top w:val="single" w:sz="4" w:space="0" w:color="auto"/>
                    <w:left w:val="single" w:sz="4" w:space="0" w:color="auto"/>
                    <w:bottom w:val="single" w:sz="4" w:space="0" w:color="auto"/>
                    <w:right w:val="single" w:sz="4" w:space="0" w:color="auto"/>
                  </w:tcBorders>
                </w:tcPr>
                <w:p w:rsidR="00C7212C" w:rsidRPr="001D43EA" w:rsidRDefault="00C7212C" w:rsidP="00011D1A">
                  <w:pPr>
                    <w:spacing w:line="256" w:lineRule="auto"/>
                    <w:jc w:val="center"/>
                    <w:rPr>
                      <w:rFonts w:ascii="Times New Roman" w:hAnsi="Times New Roman"/>
                      <w:b/>
                      <w:bCs/>
                    </w:rPr>
                  </w:pPr>
                  <w:r w:rsidRPr="001D43EA">
                    <w:rPr>
                      <w:rFonts w:ascii="Times New Roman" w:hAnsi="Times New Roman"/>
                      <w:color w:val="000000"/>
                    </w:rPr>
                    <w:t>15 balų</w:t>
                  </w:r>
                </w:p>
              </w:tc>
            </w:tr>
            <w:tr w:rsidR="00C7212C" w:rsidRPr="001D43EA" w:rsidTr="00011D1A">
              <w:trPr>
                <w:trHeight w:val="711"/>
              </w:trPr>
              <w:tc>
                <w:tcPr>
                  <w:tcW w:w="2722" w:type="dxa"/>
                  <w:tcBorders>
                    <w:top w:val="single" w:sz="4" w:space="0" w:color="auto"/>
                    <w:left w:val="single" w:sz="4" w:space="0" w:color="auto"/>
                    <w:bottom w:val="single" w:sz="4" w:space="0" w:color="auto"/>
                    <w:right w:val="single" w:sz="4" w:space="0" w:color="auto"/>
                  </w:tcBorders>
                </w:tcPr>
                <w:p w:rsidR="00C7212C" w:rsidRPr="001D43EA" w:rsidRDefault="00C7212C" w:rsidP="00011D1A">
                  <w:pPr>
                    <w:spacing w:line="256" w:lineRule="auto"/>
                    <w:jc w:val="both"/>
                    <w:rPr>
                      <w:rFonts w:ascii="Times New Roman" w:hAnsi="Times New Roman"/>
                      <w:b/>
                      <w:bCs/>
                      <w:lang w:eastAsia="lt-LT"/>
                    </w:rPr>
                  </w:pPr>
                  <w:r w:rsidRPr="001D43EA">
                    <w:rPr>
                      <w:rFonts w:ascii="Times New Roman" w:hAnsi="Times New Roman"/>
                      <w:b/>
                      <w:bCs/>
                      <w:lang w:eastAsia="lt-LT"/>
                    </w:rPr>
                    <w:t xml:space="preserve">2.3. </w:t>
                  </w:r>
                  <w:r w:rsidRPr="001D43EA">
                    <w:rPr>
                      <w:rFonts w:ascii="Times New Roman" w:hAnsi="Times New Roman"/>
                      <w:color w:val="000000"/>
                    </w:rPr>
                    <w:t>Projekto orientacija į  tikslines grupes, kurioms, remiantis Strategijoje pateiktos analizės duomenimis, labiausiai trūksta pagalbos</w:t>
                  </w:r>
                </w:p>
              </w:tc>
              <w:tc>
                <w:tcPr>
                  <w:tcW w:w="5670" w:type="dxa"/>
                  <w:gridSpan w:val="3"/>
                  <w:tcBorders>
                    <w:top w:val="single" w:sz="4" w:space="0" w:color="auto"/>
                    <w:left w:val="single" w:sz="4" w:space="0" w:color="auto"/>
                    <w:bottom w:val="single" w:sz="4" w:space="0" w:color="auto"/>
                    <w:right w:val="single" w:sz="4" w:space="0" w:color="auto"/>
                  </w:tcBorders>
                </w:tcPr>
                <w:p w:rsidR="00C7212C" w:rsidRPr="001D43EA" w:rsidRDefault="00C7212C" w:rsidP="00011D1A">
                  <w:pPr>
                    <w:spacing w:line="256" w:lineRule="auto"/>
                    <w:jc w:val="both"/>
                    <w:rPr>
                      <w:rFonts w:ascii="Times New Roman" w:hAnsi="Times New Roman"/>
                      <w:iCs/>
                    </w:rPr>
                  </w:pPr>
                  <w:r w:rsidRPr="001D43EA">
                    <w:rPr>
                      <w:rFonts w:ascii="Times New Roman" w:hAnsi="Times New Roman"/>
                      <w:iCs/>
                    </w:rPr>
                    <w:t xml:space="preserve">Prioritetas teikiamas projektams, kurių didesnė tikslinės grupės ,,jaunimas“ dalis yra neįgalūs asmenys ir (ar) esami arba buvę vaikų globos namų auklėtiniai. </w:t>
                  </w:r>
                </w:p>
                <w:p w:rsidR="00C7212C" w:rsidRPr="001D43EA" w:rsidRDefault="00C7212C" w:rsidP="00011D1A">
                  <w:pPr>
                    <w:spacing w:line="256" w:lineRule="auto"/>
                    <w:rPr>
                      <w:rFonts w:ascii="Times New Roman" w:hAnsi="Times New Roman"/>
                      <w:b/>
                      <w:bCs/>
                      <w:lang w:eastAsia="lt-LT"/>
                    </w:rPr>
                  </w:pPr>
                  <w:r w:rsidRPr="001D43EA">
                    <w:rPr>
                      <w:rFonts w:ascii="Times New Roman" w:hAnsi="Times New Roman"/>
                      <w:b/>
                      <w:bCs/>
                      <w:lang w:eastAsia="lt-LT"/>
                    </w:rPr>
                    <w:t>Projektui skirtini balai nustatomi tokia tvarka:</w:t>
                  </w:r>
                </w:p>
                <w:p w:rsidR="00C7212C" w:rsidRPr="001D43EA" w:rsidRDefault="00C7212C" w:rsidP="00011D1A">
                  <w:pPr>
                    <w:spacing w:line="256" w:lineRule="auto"/>
                    <w:jc w:val="both"/>
                    <w:rPr>
                      <w:rFonts w:ascii="Times New Roman" w:hAnsi="Times New Roman"/>
                      <w:bCs/>
                    </w:rPr>
                  </w:pPr>
                  <w:r w:rsidRPr="001D43EA">
                    <w:rPr>
                      <w:rFonts w:ascii="Times New Roman" w:hAnsi="Times New Roman"/>
                      <w:bCs/>
                    </w:rPr>
                    <w:t xml:space="preserve">Jeigu neįgalus jaunimas ir </w:t>
                  </w:r>
                  <w:r w:rsidRPr="001D43EA">
                    <w:rPr>
                      <w:rFonts w:ascii="Times New Roman" w:hAnsi="Times New Roman"/>
                      <w:iCs/>
                    </w:rPr>
                    <w:t>(ar) esami ar buvę vaikų globos namų auklėtiniai</w:t>
                  </w:r>
                  <w:r w:rsidRPr="001D43EA">
                    <w:rPr>
                      <w:rFonts w:ascii="Times New Roman" w:hAnsi="Times New Roman"/>
                      <w:bCs/>
                    </w:rPr>
                    <w:t xml:space="preserve"> (toliau – </w:t>
                  </w:r>
                  <w:proofErr w:type="spellStart"/>
                  <w:r w:rsidRPr="001D43EA">
                    <w:rPr>
                      <w:rFonts w:ascii="Times New Roman" w:hAnsi="Times New Roman"/>
                      <w:bCs/>
                    </w:rPr>
                    <w:t>spec</w:t>
                  </w:r>
                  <w:proofErr w:type="spellEnd"/>
                  <w:r w:rsidRPr="001D43EA">
                    <w:rPr>
                      <w:rFonts w:ascii="Times New Roman" w:hAnsi="Times New Roman"/>
                      <w:bCs/>
                    </w:rPr>
                    <w:t xml:space="preserve">. požymį turintys asmenys) sudaro 50-100 proc. visų projekto veiklų dalyvių, projektui skiriama 20 balų; jeigu </w:t>
                  </w:r>
                  <w:proofErr w:type="spellStart"/>
                  <w:r w:rsidRPr="001D43EA">
                    <w:rPr>
                      <w:rFonts w:ascii="Times New Roman" w:hAnsi="Times New Roman"/>
                      <w:bCs/>
                    </w:rPr>
                    <w:t>spec</w:t>
                  </w:r>
                  <w:proofErr w:type="spellEnd"/>
                  <w:r w:rsidRPr="001D43EA">
                    <w:rPr>
                      <w:rFonts w:ascii="Times New Roman" w:hAnsi="Times New Roman"/>
                      <w:bCs/>
                    </w:rPr>
                    <w:t>. požymį turintys asmenys sudaro 20-49 proc. – skiriama10 balų.</w:t>
                  </w:r>
                </w:p>
                <w:p w:rsidR="00C7212C" w:rsidRPr="001D43EA" w:rsidRDefault="00C7212C" w:rsidP="00011D1A">
                  <w:pPr>
                    <w:spacing w:line="256" w:lineRule="auto"/>
                    <w:jc w:val="both"/>
                    <w:rPr>
                      <w:rFonts w:ascii="Times New Roman" w:hAnsi="Times New Roman"/>
                      <w:bCs/>
                    </w:rPr>
                  </w:pPr>
                  <w:r w:rsidRPr="001D43EA">
                    <w:rPr>
                      <w:rFonts w:ascii="Times New Roman" w:hAnsi="Times New Roman"/>
                      <w:bCs/>
                    </w:rPr>
                    <w:t xml:space="preserve">Jei </w:t>
                  </w:r>
                  <w:proofErr w:type="spellStart"/>
                  <w:r w:rsidRPr="001D43EA">
                    <w:rPr>
                      <w:rFonts w:ascii="Times New Roman" w:hAnsi="Times New Roman"/>
                      <w:bCs/>
                    </w:rPr>
                    <w:t>spec</w:t>
                  </w:r>
                  <w:proofErr w:type="spellEnd"/>
                  <w:r w:rsidRPr="001D43EA">
                    <w:rPr>
                      <w:rFonts w:ascii="Times New Roman" w:hAnsi="Times New Roman"/>
                      <w:bCs/>
                    </w:rPr>
                    <w:t>. požymį turintys asmenys sudaro 1-19 proc. – skiriami 5 balai.</w:t>
                  </w:r>
                </w:p>
                <w:p w:rsidR="00C7212C" w:rsidRPr="001D43EA" w:rsidRDefault="00C7212C" w:rsidP="00011D1A">
                  <w:pPr>
                    <w:spacing w:line="256" w:lineRule="auto"/>
                    <w:jc w:val="both"/>
                    <w:rPr>
                      <w:rFonts w:ascii="Times New Roman" w:hAnsi="Times New Roman"/>
                      <w:bCs/>
                    </w:rPr>
                  </w:pPr>
                  <w:r w:rsidRPr="001D43EA">
                    <w:rPr>
                      <w:rFonts w:ascii="Times New Roman" w:hAnsi="Times New Roman"/>
                      <w:bCs/>
                    </w:rPr>
                    <w:t xml:space="preserve">Jei </w:t>
                  </w:r>
                  <w:proofErr w:type="spellStart"/>
                  <w:r w:rsidRPr="001D43EA">
                    <w:rPr>
                      <w:rFonts w:ascii="Times New Roman" w:hAnsi="Times New Roman"/>
                      <w:bCs/>
                    </w:rPr>
                    <w:t>spec</w:t>
                  </w:r>
                  <w:proofErr w:type="spellEnd"/>
                  <w:r w:rsidRPr="001D43EA">
                    <w:rPr>
                      <w:rFonts w:ascii="Times New Roman" w:hAnsi="Times New Roman"/>
                      <w:bCs/>
                    </w:rPr>
                    <w:t xml:space="preserve">. požymį turintys asmenys sudaro mažiau nei 1proc. arba iš projektiniame pasiūlyme pateiktos informacijos nėra aišku, kokią dalį projekto tikslinės grupės sudarys </w:t>
                  </w:r>
                  <w:proofErr w:type="spellStart"/>
                  <w:r w:rsidRPr="001D43EA">
                    <w:rPr>
                      <w:rFonts w:ascii="Times New Roman" w:hAnsi="Times New Roman"/>
                      <w:bCs/>
                    </w:rPr>
                    <w:t>spec</w:t>
                  </w:r>
                  <w:proofErr w:type="spellEnd"/>
                  <w:r w:rsidRPr="001D43EA">
                    <w:rPr>
                      <w:rFonts w:ascii="Times New Roman" w:hAnsi="Times New Roman"/>
                      <w:bCs/>
                    </w:rPr>
                    <w:t xml:space="preserve">. požymį turintys asmenys, projektui balai pagal šį kriterijų nėra skiriami. </w:t>
                  </w:r>
                </w:p>
                <w:p w:rsidR="00C7212C" w:rsidRPr="001D43EA" w:rsidRDefault="00C7212C" w:rsidP="00011D1A">
                  <w:pPr>
                    <w:spacing w:line="256" w:lineRule="auto"/>
                    <w:jc w:val="both"/>
                    <w:rPr>
                      <w:rFonts w:ascii="Times New Roman" w:hAnsi="Times New Roman"/>
                      <w:bCs/>
                    </w:rPr>
                  </w:pPr>
                  <w:r w:rsidRPr="001D43EA">
                    <w:rPr>
                      <w:rFonts w:ascii="Times New Roman" w:hAnsi="Times New Roman"/>
                      <w:bCs/>
                    </w:rPr>
                    <w:t xml:space="preserve">Kai nustatant </w:t>
                  </w:r>
                  <w:proofErr w:type="spellStart"/>
                  <w:r w:rsidRPr="001D43EA">
                    <w:rPr>
                      <w:rFonts w:ascii="Times New Roman" w:hAnsi="Times New Roman"/>
                      <w:bCs/>
                    </w:rPr>
                    <w:t>spec</w:t>
                  </w:r>
                  <w:proofErr w:type="spellEnd"/>
                  <w:r w:rsidRPr="001D43EA">
                    <w:rPr>
                      <w:rFonts w:ascii="Times New Roman" w:hAnsi="Times New Roman"/>
                      <w:bCs/>
                    </w:rPr>
                    <w:t>. požymį turinčių asmenų dalį gaunama procentinė reikšmė nėra sveikasis skaičius, atliekamas apvalinimas iki sveikojo skaičiaus pagal matematines skaičių apvalinimo taisykles.</w:t>
                  </w:r>
                </w:p>
                <w:p w:rsidR="00C7212C" w:rsidRPr="001D43EA" w:rsidRDefault="00C7212C" w:rsidP="00011D1A">
                  <w:pPr>
                    <w:spacing w:line="256" w:lineRule="auto"/>
                    <w:rPr>
                      <w:rFonts w:ascii="Times New Roman" w:hAnsi="Times New Roman"/>
                      <w:b/>
                      <w:iCs/>
                    </w:rPr>
                  </w:pPr>
                  <w:r w:rsidRPr="001D43EA">
                    <w:rPr>
                      <w:rFonts w:ascii="Times New Roman" w:hAnsi="Times New Roman"/>
                      <w:b/>
                      <w:i/>
                      <w:iCs/>
                    </w:rPr>
                    <w:lastRenderedPageBreak/>
                    <w:t>Vartojamų sąvokų paaiškinimas</w:t>
                  </w:r>
                  <w:r w:rsidRPr="001D43EA">
                    <w:rPr>
                      <w:rFonts w:ascii="Times New Roman" w:hAnsi="Times New Roman"/>
                      <w:b/>
                      <w:iCs/>
                    </w:rPr>
                    <w:t>:</w:t>
                  </w:r>
                </w:p>
                <w:p w:rsidR="00C7212C" w:rsidRPr="001D43EA" w:rsidRDefault="00C7212C" w:rsidP="00011D1A">
                  <w:pPr>
                    <w:spacing w:line="256" w:lineRule="auto"/>
                    <w:jc w:val="both"/>
                    <w:rPr>
                      <w:rFonts w:ascii="Times New Roman" w:hAnsi="Times New Roman"/>
                      <w:iCs/>
                    </w:rPr>
                  </w:pPr>
                  <w:r w:rsidRPr="001D43EA">
                    <w:rPr>
                      <w:rFonts w:ascii="Times New Roman" w:hAnsi="Times New Roman"/>
                      <w:i/>
                      <w:u w:val="single"/>
                    </w:rPr>
                    <w:t>Jaunimas</w:t>
                  </w:r>
                  <w:r w:rsidRPr="001D43EA">
                    <w:rPr>
                      <w:rFonts w:ascii="Times New Roman" w:hAnsi="Times New Roman"/>
                    </w:rPr>
                    <w:t xml:space="preserve">– asmenys, kurių amžius yra 16 - 29 metai. </w:t>
                  </w:r>
                  <w:r w:rsidRPr="001D43EA">
                    <w:rPr>
                      <w:rFonts w:ascii="Times New Roman" w:hAnsi="Times New Roman"/>
                      <w:i/>
                      <w:u w:val="single"/>
                    </w:rPr>
                    <w:t>Tikslinė grupė</w:t>
                  </w:r>
                  <w:r w:rsidRPr="001D43EA">
                    <w:rPr>
                      <w:rFonts w:ascii="Times New Roman" w:hAnsi="Times New Roman"/>
                    </w:rPr>
                    <w:t xml:space="preserve"> -asmenų grupė ar jos dalis, į kurią orientuota projekto veikla. </w:t>
                  </w:r>
                  <w:r w:rsidRPr="001D43EA">
                    <w:rPr>
                      <w:rFonts w:ascii="Times New Roman" w:hAnsi="Times New Roman"/>
                      <w:i/>
                      <w:iCs/>
                      <w:u w:val="single"/>
                    </w:rPr>
                    <w:t>Neįgalusis jaunimas</w:t>
                  </w:r>
                  <w:r w:rsidRPr="001D43EA">
                    <w:rPr>
                      <w:rFonts w:ascii="Times New Roman" w:hAnsi="Times New Roman"/>
                      <w:iCs/>
                    </w:rPr>
                    <w:t xml:space="preserve"> – 16-29 metų amžiaus asmenys, kuriems Neįgaliųjų socialinės integracijos į</w:t>
                  </w:r>
                  <w:r w:rsidRPr="001D43EA">
                    <w:rPr>
                      <w:rFonts w:ascii="Times New Roman" w:hAnsi="Times New Roman"/>
                      <w:color w:val="000000"/>
                    </w:rPr>
                    <w:t xml:space="preserve">statymo nustatyta tvarka nustatytas </w:t>
                  </w:r>
                  <w:proofErr w:type="spellStart"/>
                  <w:r w:rsidRPr="001D43EA">
                    <w:rPr>
                      <w:rFonts w:ascii="Times New Roman" w:hAnsi="Times New Roman"/>
                      <w:color w:val="000000"/>
                    </w:rPr>
                    <w:t>neįgalumo</w:t>
                  </w:r>
                  <w:proofErr w:type="spellEnd"/>
                  <w:r w:rsidRPr="001D43EA">
                    <w:rPr>
                      <w:rFonts w:ascii="Times New Roman" w:hAnsi="Times New Roman"/>
                      <w:color w:val="000000"/>
                    </w:rPr>
                    <w:t xml:space="preserve"> lygis arba 55 procentų ir mažesnis darbingumo lygis, arba specialiųjų poreikių lygis.</w:t>
                  </w:r>
                </w:p>
              </w:tc>
              <w:tc>
                <w:tcPr>
                  <w:tcW w:w="1134" w:type="dxa"/>
                  <w:tcBorders>
                    <w:top w:val="single" w:sz="4" w:space="0" w:color="auto"/>
                    <w:left w:val="single" w:sz="4" w:space="0" w:color="auto"/>
                    <w:bottom w:val="single" w:sz="4" w:space="0" w:color="auto"/>
                    <w:right w:val="single" w:sz="4" w:space="0" w:color="auto"/>
                  </w:tcBorders>
                </w:tcPr>
                <w:p w:rsidR="00C7212C" w:rsidRPr="001D43EA" w:rsidRDefault="00C7212C" w:rsidP="00011D1A">
                  <w:pPr>
                    <w:spacing w:line="256" w:lineRule="auto"/>
                    <w:jc w:val="center"/>
                    <w:rPr>
                      <w:rFonts w:ascii="Times New Roman" w:hAnsi="Times New Roman"/>
                      <w:b/>
                      <w:bCs/>
                      <w:i/>
                    </w:rPr>
                  </w:pPr>
                  <w:r w:rsidRPr="001D43EA">
                    <w:rPr>
                      <w:rFonts w:ascii="Times New Roman" w:hAnsi="Times New Roman"/>
                      <w:color w:val="000000"/>
                    </w:rPr>
                    <w:lastRenderedPageBreak/>
                    <w:t>20 balų</w:t>
                  </w:r>
                </w:p>
              </w:tc>
            </w:tr>
            <w:tr w:rsidR="00C7212C" w:rsidRPr="001D43EA" w:rsidTr="00011D1A">
              <w:trPr>
                <w:trHeight w:val="693"/>
              </w:trPr>
              <w:tc>
                <w:tcPr>
                  <w:tcW w:w="2722" w:type="dxa"/>
                  <w:tcBorders>
                    <w:top w:val="single" w:sz="4" w:space="0" w:color="auto"/>
                    <w:left w:val="single" w:sz="4" w:space="0" w:color="auto"/>
                    <w:bottom w:val="single" w:sz="4" w:space="0" w:color="auto"/>
                    <w:right w:val="single" w:sz="4" w:space="0" w:color="auto"/>
                  </w:tcBorders>
                </w:tcPr>
                <w:p w:rsidR="00C7212C" w:rsidRPr="001D43EA" w:rsidRDefault="00C7212C" w:rsidP="00011D1A">
                  <w:pPr>
                    <w:spacing w:line="256" w:lineRule="auto"/>
                    <w:rPr>
                      <w:rFonts w:ascii="Times New Roman" w:hAnsi="Times New Roman"/>
                      <w:b/>
                      <w:bCs/>
                      <w:lang w:eastAsia="lt-LT"/>
                    </w:rPr>
                  </w:pPr>
                  <w:r w:rsidRPr="001D43EA">
                    <w:rPr>
                      <w:rFonts w:ascii="Times New Roman" w:hAnsi="Times New Roman"/>
                      <w:b/>
                      <w:bCs/>
                      <w:lang w:eastAsia="lt-LT"/>
                    </w:rPr>
                    <w:lastRenderedPageBreak/>
                    <w:t>2.4</w:t>
                  </w:r>
                  <w:r w:rsidRPr="001D43EA">
                    <w:rPr>
                      <w:rFonts w:ascii="Times New Roman" w:hAnsi="Times New Roman"/>
                      <w:color w:val="000000"/>
                    </w:rPr>
                    <w:t xml:space="preserve"> </w:t>
                  </w:r>
                  <w:r>
                    <w:rPr>
                      <w:rFonts w:ascii="Times New Roman" w:hAnsi="Times New Roman"/>
                      <w:color w:val="000000"/>
                    </w:rPr>
                    <w:t xml:space="preserve"> </w:t>
                  </w:r>
                  <w:r w:rsidRPr="001D43EA">
                    <w:rPr>
                      <w:rFonts w:ascii="Times New Roman" w:hAnsi="Times New Roman"/>
                      <w:color w:val="000000"/>
                    </w:rPr>
                    <w:t>Savanorių įtraukimas į projekto veiklų vykdymą</w:t>
                  </w:r>
                </w:p>
              </w:tc>
              <w:tc>
                <w:tcPr>
                  <w:tcW w:w="5670" w:type="dxa"/>
                  <w:gridSpan w:val="3"/>
                  <w:tcBorders>
                    <w:top w:val="single" w:sz="4" w:space="0" w:color="auto"/>
                    <w:left w:val="single" w:sz="4" w:space="0" w:color="auto"/>
                    <w:bottom w:val="single" w:sz="4" w:space="0" w:color="auto"/>
                    <w:right w:val="single" w:sz="4" w:space="0" w:color="auto"/>
                  </w:tcBorders>
                </w:tcPr>
                <w:p w:rsidR="00C7212C" w:rsidRPr="001D43EA" w:rsidRDefault="00C7212C" w:rsidP="00011D1A">
                  <w:pPr>
                    <w:spacing w:line="256" w:lineRule="auto"/>
                    <w:jc w:val="both"/>
                    <w:rPr>
                      <w:rFonts w:ascii="Times New Roman" w:hAnsi="Times New Roman"/>
                      <w:iCs/>
                    </w:rPr>
                  </w:pPr>
                  <w:r w:rsidRPr="001D43EA">
                    <w:rPr>
                      <w:rFonts w:ascii="Times New Roman" w:hAnsi="Times New Roman"/>
                      <w:iCs/>
                    </w:rPr>
                    <w:t>Prioritetas teikiamas projektams, į kurių veiklų vykdymą numatoma įtraukti daugiau savanorių.</w:t>
                  </w:r>
                </w:p>
                <w:p w:rsidR="00C7212C" w:rsidRPr="001D43EA" w:rsidRDefault="00C7212C" w:rsidP="00011D1A">
                  <w:pPr>
                    <w:spacing w:line="256" w:lineRule="auto"/>
                    <w:rPr>
                      <w:rFonts w:ascii="Times New Roman" w:hAnsi="Times New Roman"/>
                      <w:b/>
                      <w:bCs/>
                      <w:lang w:eastAsia="lt-LT"/>
                    </w:rPr>
                  </w:pPr>
                  <w:r w:rsidRPr="001D43EA">
                    <w:rPr>
                      <w:rFonts w:ascii="Times New Roman" w:hAnsi="Times New Roman"/>
                      <w:b/>
                      <w:bCs/>
                      <w:lang w:eastAsia="lt-LT"/>
                    </w:rPr>
                    <w:t>Projektui skirtini balai nustatomi tokia tvarka:</w:t>
                  </w:r>
                </w:p>
                <w:p w:rsidR="00C7212C" w:rsidRPr="001D43EA" w:rsidRDefault="00C7212C" w:rsidP="00011D1A">
                  <w:pPr>
                    <w:spacing w:line="256" w:lineRule="auto"/>
                    <w:jc w:val="both"/>
                    <w:rPr>
                      <w:rFonts w:ascii="Times New Roman" w:hAnsi="Times New Roman"/>
                      <w:iCs/>
                    </w:rPr>
                  </w:pPr>
                  <w:r w:rsidRPr="001D43EA">
                    <w:rPr>
                      <w:rFonts w:ascii="Times New Roman" w:hAnsi="Times New Roman"/>
                      <w:iCs/>
                    </w:rPr>
                    <w:t xml:space="preserve">Projektui skiriama 20balų, jeigu į projekto veiklų vykdymą numatoma įtraukti daugiau nei vieną savanorį, atitinkamai projekto biudžete planuojant nepiniginį pareiškėjo (partnerio) įnašą savanoriška veikla. </w:t>
                  </w:r>
                </w:p>
                <w:p w:rsidR="00C7212C" w:rsidRPr="001D43EA" w:rsidRDefault="00C7212C" w:rsidP="00011D1A">
                  <w:pPr>
                    <w:spacing w:line="256" w:lineRule="auto"/>
                    <w:jc w:val="both"/>
                    <w:rPr>
                      <w:rFonts w:ascii="Times New Roman" w:hAnsi="Times New Roman"/>
                      <w:iCs/>
                    </w:rPr>
                  </w:pPr>
                  <w:r w:rsidRPr="001D43EA">
                    <w:rPr>
                      <w:rFonts w:ascii="Times New Roman" w:hAnsi="Times New Roman"/>
                      <w:iCs/>
                    </w:rPr>
                    <w:t>Projektui skiriama 10 balų, jeigu į projekto veiklų vykdymą numatoma įtraukti vieną savanorį, atitinkamai projekto biudžete planuojant nepiniginį pareiškėjo (partnerio) įnašą savanoriška veikla. Likusiems projektams pagal šį kriterijų neskiriama balų.</w:t>
                  </w:r>
                </w:p>
                <w:p w:rsidR="00C7212C" w:rsidRPr="001D43EA" w:rsidRDefault="00C7212C" w:rsidP="00011D1A">
                  <w:pPr>
                    <w:spacing w:line="256" w:lineRule="auto"/>
                    <w:jc w:val="both"/>
                    <w:rPr>
                      <w:rFonts w:ascii="Times New Roman" w:hAnsi="Times New Roman"/>
                      <w:b/>
                      <w:iCs/>
                    </w:rPr>
                  </w:pPr>
                  <w:r w:rsidRPr="001D43EA">
                    <w:rPr>
                      <w:rFonts w:ascii="Times New Roman" w:hAnsi="Times New Roman"/>
                      <w:iCs/>
                    </w:rPr>
                    <w:t>Projektui neskiriama 10 balų, jeigu į projekto veiklų vykdymą nenumatoma įtraukti savanorių.</w:t>
                  </w:r>
                </w:p>
                <w:p w:rsidR="00C7212C" w:rsidRPr="001D43EA" w:rsidRDefault="00C7212C" w:rsidP="00011D1A">
                  <w:pPr>
                    <w:spacing w:line="256" w:lineRule="auto"/>
                    <w:rPr>
                      <w:rFonts w:ascii="Times New Roman" w:hAnsi="Times New Roman"/>
                      <w:b/>
                      <w:i/>
                      <w:iCs/>
                    </w:rPr>
                  </w:pPr>
                  <w:r w:rsidRPr="001D43EA">
                    <w:rPr>
                      <w:rFonts w:ascii="Times New Roman" w:hAnsi="Times New Roman"/>
                      <w:b/>
                      <w:i/>
                      <w:iCs/>
                    </w:rPr>
                    <w:t>Vartojamų sąvokų paaiškinimas:</w:t>
                  </w:r>
                </w:p>
                <w:p w:rsidR="00C7212C" w:rsidRPr="001D43EA" w:rsidRDefault="00C7212C" w:rsidP="00011D1A">
                  <w:pPr>
                    <w:spacing w:line="256" w:lineRule="auto"/>
                    <w:jc w:val="both"/>
                    <w:rPr>
                      <w:rFonts w:ascii="Times New Roman" w:hAnsi="Times New Roman"/>
                      <w:iCs/>
                    </w:rPr>
                  </w:pPr>
                  <w:r w:rsidRPr="001D43EA">
                    <w:rPr>
                      <w:rFonts w:ascii="Times New Roman" w:hAnsi="Times New Roman"/>
                      <w:i/>
                      <w:iCs/>
                      <w:u w:val="single"/>
                    </w:rPr>
                    <w:t>Savanoris</w:t>
                  </w:r>
                  <w:r w:rsidRPr="001D43EA">
                    <w:rPr>
                      <w:rFonts w:ascii="Times New Roman" w:hAnsi="Times New Roman"/>
                      <w:iCs/>
                    </w:rPr>
                    <w:t xml:space="preserve"> – </w:t>
                  </w:r>
                  <w:r w:rsidRPr="001D43EA">
                    <w:rPr>
                      <w:rFonts w:ascii="Times New Roman" w:hAnsi="Times New Roman"/>
                    </w:rPr>
                    <w:t>savanorišką veiklą atliekantis asmuo (Lietuvos Respublikos pilietis ir Lietuvos Respublikos teritorijoje teisėtai esantis užsienietis), ne jaunesnis kaip 14 metų.</w:t>
                  </w:r>
                </w:p>
                <w:p w:rsidR="00C7212C" w:rsidRPr="001D43EA" w:rsidRDefault="00C7212C" w:rsidP="00011D1A">
                  <w:pPr>
                    <w:spacing w:after="0"/>
                    <w:jc w:val="both"/>
                    <w:rPr>
                      <w:rFonts w:ascii="Times New Roman" w:hAnsi="Times New Roman"/>
                      <w:lang w:eastAsia="lt-LT"/>
                    </w:rPr>
                  </w:pPr>
                  <w:r w:rsidRPr="001D43EA">
                    <w:rPr>
                      <w:rFonts w:ascii="Times New Roman" w:hAnsi="Times New Roman"/>
                      <w:i/>
                      <w:u w:val="single"/>
                      <w:lang w:eastAsia="lt-LT"/>
                    </w:rPr>
                    <w:t>Savanoriška veikla</w:t>
                  </w:r>
                  <w:r w:rsidRPr="001D43EA">
                    <w:rPr>
                      <w:rFonts w:ascii="Times New Roman" w:hAnsi="Times New Roman"/>
                      <w:lang w:eastAsia="lt-LT"/>
                    </w:rPr>
                    <w:t xml:space="preserve"> – savanorio neatlyginamai atliekama visuomenei naudinga veikla, kurios sąlygos nustatomos savanorio ir šios veiklos organizatoriaus susitarimu. Savanoriškos veiklos organizatoriais gali būti Lietuvos Respublikoje įregistruoti:</w:t>
                  </w:r>
                </w:p>
                <w:p w:rsidR="00C7212C" w:rsidRPr="001D43EA" w:rsidRDefault="00C7212C" w:rsidP="00011D1A">
                  <w:pPr>
                    <w:spacing w:after="0"/>
                    <w:jc w:val="both"/>
                    <w:rPr>
                      <w:rFonts w:ascii="Times New Roman" w:hAnsi="Times New Roman"/>
                      <w:lang w:eastAsia="lt-LT"/>
                    </w:rPr>
                  </w:pPr>
                  <w:r w:rsidRPr="001D43EA">
                    <w:rPr>
                      <w:rFonts w:ascii="Times New Roman" w:hAnsi="Times New Roman"/>
                      <w:lang w:eastAsia="lt-LT"/>
                    </w:rPr>
                    <w:t xml:space="preserve">1) labdaros ir paramos fondai; </w:t>
                  </w:r>
                </w:p>
                <w:p w:rsidR="00C7212C" w:rsidRPr="001D43EA" w:rsidRDefault="00C7212C" w:rsidP="00011D1A">
                  <w:pPr>
                    <w:spacing w:after="0"/>
                    <w:rPr>
                      <w:rFonts w:ascii="Times New Roman" w:hAnsi="Times New Roman"/>
                      <w:lang w:eastAsia="lt-LT"/>
                    </w:rPr>
                  </w:pPr>
                  <w:r w:rsidRPr="001D43EA">
                    <w:rPr>
                      <w:rFonts w:ascii="Times New Roman" w:hAnsi="Times New Roman"/>
                      <w:lang w:eastAsia="lt-LT"/>
                    </w:rPr>
                    <w:t xml:space="preserve">2) biudžetinės įstaigos; </w:t>
                  </w:r>
                </w:p>
                <w:p w:rsidR="00C7212C" w:rsidRPr="001D43EA" w:rsidRDefault="00C7212C" w:rsidP="00011D1A">
                  <w:pPr>
                    <w:spacing w:after="0"/>
                    <w:rPr>
                      <w:rFonts w:ascii="Times New Roman" w:hAnsi="Times New Roman"/>
                      <w:lang w:eastAsia="lt-LT"/>
                    </w:rPr>
                  </w:pPr>
                  <w:r w:rsidRPr="001D43EA">
                    <w:rPr>
                      <w:rFonts w:ascii="Times New Roman" w:hAnsi="Times New Roman"/>
                      <w:lang w:eastAsia="lt-LT"/>
                    </w:rPr>
                    <w:t xml:space="preserve">3) asociacijos; </w:t>
                  </w:r>
                </w:p>
                <w:p w:rsidR="00C7212C" w:rsidRPr="001D43EA" w:rsidRDefault="00C7212C" w:rsidP="00011D1A">
                  <w:pPr>
                    <w:spacing w:after="0"/>
                    <w:rPr>
                      <w:rFonts w:ascii="Times New Roman" w:hAnsi="Times New Roman"/>
                      <w:lang w:eastAsia="lt-LT"/>
                    </w:rPr>
                  </w:pPr>
                  <w:r w:rsidRPr="001D43EA">
                    <w:rPr>
                      <w:rFonts w:ascii="Times New Roman" w:hAnsi="Times New Roman"/>
                      <w:lang w:eastAsia="lt-LT"/>
                    </w:rPr>
                    <w:t xml:space="preserve">4) viešosios įstaigos; </w:t>
                  </w:r>
                </w:p>
                <w:p w:rsidR="00C7212C" w:rsidRPr="001D43EA" w:rsidRDefault="00C7212C" w:rsidP="00011D1A">
                  <w:pPr>
                    <w:spacing w:after="0"/>
                    <w:rPr>
                      <w:rFonts w:ascii="Times New Roman" w:hAnsi="Times New Roman"/>
                      <w:lang w:eastAsia="lt-LT"/>
                    </w:rPr>
                  </w:pPr>
                  <w:r w:rsidRPr="001D43EA">
                    <w:rPr>
                      <w:rFonts w:ascii="Times New Roman" w:hAnsi="Times New Roman"/>
                      <w:lang w:eastAsia="lt-LT"/>
                    </w:rPr>
                    <w:t xml:space="preserve">5) religinės bendruomenės, bendrijos ir religiniai centrai; </w:t>
                  </w:r>
                </w:p>
                <w:p w:rsidR="00C7212C" w:rsidRPr="001D43EA" w:rsidRDefault="00C7212C" w:rsidP="00011D1A">
                  <w:pPr>
                    <w:spacing w:after="0"/>
                    <w:rPr>
                      <w:rFonts w:ascii="Times New Roman" w:hAnsi="Times New Roman"/>
                      <w:lang w:eastAsia="lt-LT"/>
                    </w:rPr>
                  </w:pPr>
                  <w:r w:rsidRPr="001D43EA">
                    <w:rPr>
                      <w:rFonts w:ascii="Times New Roman" w:hAnsi="Times New Roman"/>
                      <w:lang w:eastAsia="lt-LT"/>
                    </w:rPr>
                    <w:t xml:space="preserve">6) tarptautinių visuomeninių organizacijų filialai, atstovybės; </w:t>
                  </w:r>
                </w:p>
                <w:p w:rsidR="00C7212C" w:rsidRPr="001D43EA" w:rsidRDefault="00C7212C" w:rsidP="00011D1A">
                  <w:pPr>
                    <w:spacing w:after="0"/>
                    <w:rPr>
                      <w:rFonts w:ascii="Times New Roman" w:hAnsi="Times New Roman"/>
                      <w:lang w:eastAsia="lt-LT"/>
                    </w:rPr>
                  </w:pPr>
                  <w:r w:rsidRPr="001D43EA">
                    <w:rPr>
                      <w:rFonts w:ascii="Times New Roman" w:hAnsi="Times New Roman"/>
                      <w:lang w:eastAsia="lt-LT"/>
                    </w:rPr>
                    <w:t xml:space="preserve">7) politinės partijos; </w:t>
                  </w:r>
                </w:p>
                <w:p w:rsidR="00C7212C" w:rsidRPr="001D43EA" w:rsidRDefault="00C7212C" w:rsidP="00011D1A">
                  <w:pPr>
                    <w:spacing w:after="0"/>
                    <w:rPr>
                      <w:rFonts w:ascii="Times New Roman" w:hAnsi="Times New Roman"/>
                      <w:lang w:eastAsia="lt-LT"/>
                    </w:rPr>
                  </w:pPr>
                  <w:r w:rsidRPr="001D43EA">
                    <w:rPr>
                      <w:rFonts w:ascii="Times New Roman" w:hAnsi="Times New Roman"/>
                      <w:lang w:eastAsia="lt-LT"/>
                    </w:rPr>
                    <w:t>8) profesinės sąjungos;</w:t>
                  </w:r>
                </w:p>
                <w:p w:rsidR="00C7212C" w:rsidRPr="001D43EA" w:rsidRDefault="00C7212C" w:rsidP="00011D1A">
                  <w:pPr>
                    <w:spacing w:after="0"/>
                    <w:rPr>
                      <w:rFonts w:ascii="Times New Roman" w:hAnsi="Times New Roman"/>
                      <w:b/>
                      <w:i/>
                      <w:iCs/>
                    </w:rPr>
                  </w:pPr>
                  <w:r w:rsidRPr="001D43EA">
                    <w:rPr>
                      <w:rFonts w:ascii="Times New Roman" w:hAnsi="Times New Roman"/>
                      <w:lang w:eastAsia="lt-LT"/>
                    </w:rPr>
                    <w:t>9) kiti juridiniai asmenys, kurių veiklą reglamentuoja specialūs įstatymai ir kurių veiklos tikslas nėra pelno siekimas, o gautas pelnas negali būti skiriamas jų dalyviams.</w:t>
                  </w:r>
                </w:p>
              </w:tc>
              <w:tc>
                <w:tcPr>
                  <w:tcW w:w="1134" w:type="dxa"/>
                  <w:tcBorders>
                    <w:top w:val="single" w:sz="4" w:space="0" w:color="auto"/>
                    <w:left w:val="single" w:sz="4" w:space="0" w:color="auto"/>
                    <w:bottom w:val="single" w:sz="4" w:space="0" w:color="auto"/>
                    <w:right w:val="single" w:sz="4" w:space="0" w:color="auto"/>
                  </w:tcBorders>
                </w:tcPr>
                <w:p w:rsidR="00C7212C" w:rsidRPr="001D43EA" w:rsidRDefault="00C7212C" w:rsidP="00011D1A">
                  <w:pPr>
                    <w:spacing w:line="256" w:lineRule="auto"/>
                    <w:jc w:val="center"/>
                    <w:rPr>
                      <w:rFonts w:ascii="Times New Roman" w:hAnsi="Times New Roman"/>
                      <w:b/>
                      <w:bCs/>
                      <w:i/>
                    </w:rPr>
                  </w:pPr>
                  <w:r w:rsidRPr="001D43EA">
                    <w:rPr>
                      <w:rFonts w:ascii="Times New Roman" w:hAnsi="Times New Roman"/>
                      <w:color w:val="000000"/>
                    </w:rPr>
                    <w:t>20 balų</w:t>
                  </w:r>
                </w:p>
              </w:tc>
            </w:tr>
            <w:tr w:rsidR="00C7212C" w:rsidRPr="001D43EA" w:rsidTr="00011D1A">
              <w:trPr>
                <w:trHeight w:val="693"/>
              </w:trPr>
              <w:tc>
                <w:tcPr>
                  <w:tcW w:w="2722" w:type="dxa"/>
                  <w:tcBorders>
                    <w:top w:val="single" w:sz="4" w:space="0" w:color="auto"/>
                    <w:left w:val="single" w:sz="4" w:space="0" w:color="auto"/>
                    <w:bottom w:val="single" w:sz="4" w:space="0" w:color="auto"/>
                    <w:right w:val="single" w:sz="4" w:space="0" w:color="auto"/>
                  </w:tcBorders>
                </w:tcPr>
                <w:p w:rsidR="00C7212C" w:rsidRPr="001D43EA" w:rsidRDefault="00C7212C" w:rsidP="00011D1A">
                  <w:pPr>
                    <w:spacing w:line="256" w:lineRule="auto"/>
                    <w:rPr>
                      <w:rFonts w:ascii="Times New Roman" w:hAnsi="Times New Roman"/>
                      <w:b/>
                      <w:bCs/>
                      <w:lang w:eastAsia="lt-LT"/>
                    </w:rPr>
                  </w:pPr>
                  <w:r w:rsidRPr="001D43EA">
                    <w:rPr>
                      <w:rFonts w:ascii="Times New Roman" w:hAnsi="Times New Roman"/>
                      <w:b/>
                      <w:bCs/>
                      <w:lang w:eastAsia="lt-LT"/>
                    </w:rPr>
                    <w:t xml:space="preserve">2.5 </w:t>
                  </w:r>
                  <w:r w:rsidRPr="001D43EA">
                    <w:rPr>
                      <w:rFonts w:ascii="Times New Roman" w:hAnsi="Times New Roman"/>
                      <w:bCs/>
                      <w:lang w:eastAsia="lt-LT"/>
                    </w:rPr>
                    <w:t xml:space="preserve">Tikėtinas projekto prisidėjimas prie Strategijos </w:t>
                  </w:r>
                  <w:r w:rsidRPr="001D43EA">
                    <w:rPr>
                      <w:rFonts w:ascii="Times New Roman" w:hAnsi="Times New Roman"/>
                      <w:bCs/>
                      <w:lang w:eastAsia="lt-LT"/>
                    </w:rPr>
                    <w:lastRenderedPageBreak/>
                    <w:t xml:space="preserve">,,X“ uždavinio įgyvendinimo stebėsenos rezultato rodiklio </w:t>
                  </w:r>
                  <w:r w:rsidRPr="001D43EA">
                    <w:rPr>
                      <w:rFonts w:ascii="Times New Roman" w:hAnsi="Times New Roman"/>
                      <w:bCs/>
                      <w:i/>
                      <w:lang w:eastAsia="lt-LT"/>
                    </w:rPr>
                    <w:t xml:space="preserve">,,Socialinių partnerių organizacijose ar NVO </w:t>
                  </w:r>
                  <w:proofErr w:type="spellStart"/>
                  <w:r w:rsidRPr="001D43EA">
                    <w:rPr>
                      <w:rFonts w:ascii="Times New Roman" w:hAnsi="Times New Roman"/>
                      <w:bCs/>
                      <w:i/>
                      <w:lang w:eastAsia="lt-LT"/>
                    </w:rPr>
                    <w:t>savanoriaujantys</w:t>
                  </w:r>
                  <w:proofErr w:type="spellEnd"/>
                  <w:r w:rsidRPr="001D43EA">
                    <w:rPr>
                      <w:rFonts w:ascii="Times New Roman" w:hAnsi="Times New Roman"/>
                      <w:bCs/>
                      <w:i/>
                      <w:lang w:eastAsia="lt-LT"/>
                    </w:rPr>
                    <w:t xml:space="preserve"> dalyviai (vietos bendruomenės nariai) praėjus 6 mėnesiams po dalyvavimo ESF veiklose“</w:t>
                  </w:r>
                  <w:r w:rsidRPr="001D43EA">
                    <w:rPr>
                      <w:rFonts w:ascii="Times New Roman" w:hAnsi="Times New Roman"/>
                      <w:bCs/>
                      <w:lang w:eastAsia="lt-LT"/>
                    </w:rPr>
                    <w:t xml:space="preserve">/ rezultato rodiklio </w:t>
                  </w:r>
                  <w:r w:rsidRPr="001D43EA">
                    <w:rPr>
                      <w:rFonts w:ascii="Times New Roman" w:hAnsi="Times New Roman"/>
                      <w:bCs/>
                      <w:i/>
                      <w:lang w:eastAsia="lt-LT"/>
                    </w:rPr>
                    <w:t>,,BIVP projektų veiklų dalyviai, kurių padėtis darbo rinkoje pagerėjo praėjus 6 mėnesiams po dalyvavimo ESF veiklose“</w:t>
                  </w:r>
                  <w:r w:rsidRPr="001D43EA">
                    <w:rPr>
                      <w:rFonts w:ascii="Times New Roman" w:hAnsi="Times New Roman"/>
                      <w:bCs/>
                      <w:lang w:eastAsia="lt-LT"/>
                    </w:rPr>
                    <w:t xml:space="preserve"> siekimo</w:t>
                  </w:r>
                </w:p>
              </w:tc>
              <w:tc>
                <w:tcPr>
                  <w:tcW w:w="5670" w:type="dxa"/>
                  <w:gridSpan w:val="3"/>
                  <w:tcBorders>
                    <w:top w:val="single" w:sz="4" w:space="0" w:color="auto"/>
                    <w:left w:val="single" w:sz="4" w:space="0" w:color="auto"/>
                    <w:bottom w:val="single" w:sz="4" w:space="0" w:color="auto"/>
                    <w:right w:val="single" w:sz="4" w:space="0" w:color="auto"/>
                  </w:tcBorders>
                </w:tcPr>
                <w:p w:rsidR="00C7212C" w:rsidRPr="001D43EA" w:rsidRDefault="00C7212C" w:rsidP="00011D1A">
                  <w:pPr>
                    <w:spacing w:line="256" w:lineRule="auto"/>
                    <w:jc w:val="both"/>
                    <w:rPr>
                      <w:rFonts w:ascii="Times New Roman" w:hAnsi="Times New Roman"/>
                      <w:iCs/>
                    </w:rPr>
                  </w:pPr>
                  <w:r w:rsidRPr="001D43EA">
                    <w:rPr>
                      <w:rFonts w:ascii="Times New Roman" w:hAnsi="Times New Roman"/>
                      <w:iCs/>
                    </w:rPr>
                    <w:lastRenderedPageBreak/>
                    <w:t xml:space="preserve">Prioritetas teikiamas projektams, iš kurių projektiniuose pasiūlymuose pateiktos informacijos matyti, kad po projekto </w:t>
                  </w:r>
                  <w:r w:rsidRPr="001D43EA">
                    <w:rPr>
                      <w:rFonts w:ascii="Times New Roman" w:hAnsi="Times New Roman"/>
                      <w:iCs/>
                    </w:rPr>
                    <w:lastRenderedPageBreak/>
                    <w:t>pabaigos bus sudaryta galimybė projektų veiklų vykdytojams ir (ar) dalyviams atlikti savanorišką veiklą.</w:t>
                  </w:r>
                </w:p>
                <w:p w:rsidR="00C7212C" w:rsidRPr="001D43EA" w:rsidRDefault="00C7212C" w:rsidP="00011D1A">
                  <w:pPr>
                    <w:spacing w:line="256" w:lineRule="auto"/>
                    <w:jc w:val="both"/>
                    <w:rPr>
                      <w:rFonts w:ascii="Times New Roman" w:hAnsi="Times New Roman"/>
                      <w:b/>
                      <w:bCs/>
                      <w:lang w:eastAsia="lt-LT"/>
                    </w:rPr>
                  </w:pPr>
                  <w:r w:rsidRPr="001D43EA">
                    <w:rPr>
                      <w:rFonts w:ascii="Times New Roman" w:hAnsi="Times New Roman"/>
                      <w:b/>
                      <w:bCs/>
                      <w:lang w:eastAsia="lt-LT"/>
                    </w:rPr>
                    <w:t>Projektui skirtini balai nustatomi tokia tvarka:</w:t>
                  </w:r>
                </w:p>
                <w:p w:rsidR="00C7212C" w:rsidRPr="001D43EA" w:rsidRDefault="00C7212C" w:rsidP="00011D1A">
                  <w:pPr>
                    <w:spacing w:line="256" w:lineRule="auto"/>
                    <w:jc w:val="both"/>
                    <w:rPr>
                      <w:rFonts w:ascii="Times New Roman" w:hAnsi="Times New Roman"/>
                      <w:iCs/>
                    </w:rPr>
                  </w:pPr>
                  <w:r w:rsidRPr="001D43EA">
                    <w:rPr>
                      <w:rFonts w:ascii="Times New Roman" w:hAnsi="Times New Roman"/>
                      <w:iCs/>
                    </w:rPr>
                    <w:t>5 balai skiriami projektams, kurių projektiniuose pasiūlymuose aiškiai aprašyta, kokias priemones pareiškėjas  / partneris taikys projekto metu ir projektui pasibaigus tam, kad kuo didesnė projekto veiklas vykdžiusių ir projekto veiklų dalyviais buvusių asmenų pasibaigus projektui vykdytų savanorišką veiklą. Likusiems projektams pagal šį kriterijų neskiriama balų.</w:t>
                  </w:r>
                </w:p>
                <w:p w:rsidR="00C7212C" w:rsidRPr="001D43EA" w:rsidRDefault="00C7212C" w:rsidP="00011D1A">
                  <w:pPr>
                    <w:spacing w:line="256" w:lineRule="auto"/>
                    <w:jc w:val="both"/>
                    <w:rPr>
                      <w:rFonts w:ascii="Times New Roman" w:hAnsi="Times New Roman"/>
                      <w:i/>
                    </w:rPr>
                  </w:pPr>
                  <w:r w:rsidRPr="001D43EA">
                    <w:rPr>
                      <w:rFonts w:ascii="Times New Roman" w:hAnsi="Times New Roman"/>
                      <w:b/>
                      <w:i/>
                      <w:iCs/>
                    </w:rPr>
                    <w:t>Vartojamų sąvokų paaiškinimas:</w:t>
                  </w:r>
                </w:p>
                <w:p w:rsidR="00C7212C" w:rsidRPr="001D43EA" w:rsidRDefault="00C7212C" w:rsidP="00011D1A">
                  <w:pPr>
                    <w:jc w:val="both"/>
                    <w:rPr>
                      <w:rFonts w:ascii="Times New Roman" w:hAnsi="Times New Roman"/>
                    </w:rPr>
                  </w:pPr>
                  <w:r w:rsidRPr="001D43EA">
                    <w:rPr>
                      <w:rFonts w:ascii="Times New Roman" w:hAnsi="Times New Roman"/>
                      <w:i/>
                      <w:iCs/>
                      <w:u w:val="single"/>
                    </w:rPr>
                    <w:t>Projekto veiklų dalyvis</w:t>
                  </w:r>
                  <w:r w:rsidRPr="001D43EA">
                    <w:rPr>
                      <w:rFonts w:ascii="Times New Roman" w:hAnsi="Times New Roman"/>
                      <w:iCs/>
                    </w:rPr>
                    <w:t xml:space="preserve">– </w:t>
                  </w:r>
                  <w:r w:rsidRPr="001D43EA">
                    <w:rPr>
                      <w:rFonts w:ascii="Times New Roman" w:hAnsi="Times New Roman"/>
                    </w:rPr>
                    <w:t>projekto veiklose dalyvaujantis  tikslinės grupės atstovas (fizinis asmuo). Konkrečios projekto veiklos dalyviu nėra laikomas konkrečią projekto veiklą vykdantis asmuo.</w:t>
                  </w:r>
                </w:p>
                <w:p w:rsidR="00C7212C" w:rsidRPr="001D43EA" w:rsidRDefault="00C7212C" w:rsidP="00011D1A">
                  <w:pPr>
                    <w:spacing w:line="256" w:lineRule="auto"/>
                    <w:jc w:val="both"/>
                    <w:rPr>
                      <w:rFonts w:ascii="Times New Roman" w:hAnsi="Times New Roman"/>
                      <w:b/>
                      <w:i/>
                      <w:iCs/>
                    </w:rPr>
                  </w:pPr>
                  <w:r w:rsidRPr="001D43EA">
                    <w:rPr>
                      <w:rFonts w:ascii="Times New Roman" w:hAnsi="Times New Roman"/>
                      <w:i/>
                      <w:color w:val="000000"/>
                      <w:u w:val="single"/>
                    </w:rPr>
                    <w:t>Projektų veiklų vykdytojas</w:t>
                  </w:r>
                  <w:r w:rsidRPr="001D43EA">
                    <w:rPr>
                      <w:rFonts w:ascii="Times New Roman" w:hAnsi="Times New Roman"/>
                      <w:color w:val="000000"/>
                    </w:rPr>
                    <w:t xml:space="preserve"> – pagal savanorystės ar darbo sutartį projekto vykdytojo ar partnerio organizacijoje dirbęs ir vykdant tiesiogines iš ESF lėšų bendrai finansuojamo projekto veiklas dalyvavęs asmuo.</w:t>
                  </w:r>
                </w:p>
              </w:tc>
              <w:tc>
                <w:tcPr>
                  <w:tcW w:w="1134" w:type="dxa"/>
                  <w:tcBorders>
                    <w:top w:val="single" w:sz="4" w:space="0" w:color="auto"/>
                    <w:left w:val="single" w:sz="4" w:space="0" w:color="auto"/>
                    <w:bottom w:val="single" w:sz="4" w:space="0" w:color="auto"/>
                    <w:right w:val="single" w:sz="4" w:space="0" w:color="auto"/>
                  </w:tcBorders>
                </w:tcPr>
                <w:p w:rsidR="00C7212C" w:rsidRPr="001D43EA" w:rsidRDefault="00C7212C" w:rsidP="00011D1A">
                  <w:pPr>
                    <w:spacing w:line="256" w:lineRule="auto"/>
                    <w:jc w:val="center"/>
                    <w:rPr>
                      <w:rFonts w:ascii="Times New Roman" w:hAnsi="Times New Roman"/>
                      <w:bCs/>
                    </w:rPr>
                  </w:pPr>
                  <w:r w:rsidRPr="001D43EA">
                    <w:rPr>
                      <w:rFonts w:ascii="Times New Roman" w:hAnsi="Times New Roman"/>
                      <w:bCs/>
                    </w:rPr>
                    <w:lastRenderedPageBreak/>
                    <w:t>5 balai</w:t>
                  </w:r>
                </w:p>
              </w:tc>
            </w:tr>
            <w:tr w:rsidR="00C7212C" w:rsidRPr="001D43EA" w:rsidTr="00011D1A">
              <w:trPr>
                <w:trHeight w:val="693"/>
              </w:trPr>
              <w:tc>
                <w:tcPr>
                  <w:tcW w:w="2722" w:type="dxa"/>
                  <w:tcBorders>
                    <w:top w:val="single" w:sz="4" w:space="0" w:color="auto"/>
                    <w:left w:val="single" w:sz="4" w:space="0" w:color="auto"/>
                    <w:bottom w:val="single" w:sz="4" w:space="0" w:color="auto"/>
                    <w:right w:val="single" w:sz="4" w:space="0" w:color="auto"/>
                  </w:tcBorders>
                </w:tcPr>
                <w:p w:rsidR="00C7212C" w:rsidRPr="001D43EA" w:rsidRDefault="00C7212C" w:rsidP="00011D1A">
                  <w:pPr>
                    <w:spacing w:line="256" w:lineRule="auto"/>
                    <w:rPr>
                      <w:rFonts w:ascii="Times New Roman" w:hAnsi="Times New Roman"/>
                      <w:b/>
                      <w:bCs/>
                      <w:lang w:eastAsia="lt-LT"/>
                    </w:rPr>
                  </w:pPr>
                  <w:r w:rsidRPr="001D43EA">
                    <w:rPr>
                      <w:rFonts w:ascii="Times New Roman" w:hAnsi="Times New Roman"/>
                      <w:b/>
                      <w:bCs/>
                      <w:lang w:eastAsia="lt-LT"/>
                    </w:rPr>
                    <w:lastRenderedPageBreak/>
                    <w:t xml:space="preserve">2.6 </w:t>
                  </w:r>
                  <w:r w:rsidRPr="001D43EA">
                    <w:rPr>
                      <w:rFonts w:ascii="Times New Roman" w:hAnsi="Times New Roman"/>
                      <w:color w:val="000000"/>
                    </w:rPr>
                    <w:t>Pareiškėjo ir partnerio patirtis įgyvendinant panašaus pobūdžio veiklas</w:t>
                  </w:r>
                </w:p>
              </w:tc>
              <w:tc>
                <w:tcPr>
                  <w:tcW w:w="5670" w:type="dxa"/>
                  <w:gridSpan w:val="3"/>
                  <w:tcBorders>
                    <w:top w:val="single" w:sz="4" w:space="0" w:color="auto"/>
                    <w:left w:val="single" w:sz="4" w:space="0" w:color="auto"/>
                    <w:bottom w:val="single" w:sz="4" w:space="0" w:color="auto"/>
                    <w:right w:val="single" w:sz="4" w:space="0" w:color="auto"/>
                  </w:tcBorders>
                </w:tcPr>
                <w:p w:rsidR="00C7212C" w:rsidRPr="001D43EA" w:rsidRDefault="00C7212C" w:rsidP="00011D1A">
                  <w:pPr>
                    <w:spacing w:line="256" w:lineRule="auto"/>
                    <w:jc w:val="both"/>
                    <w:rPr>
                      <w:rFonts w:ascii="Times New Roman" w:hAnsi="Times New Roman"/>
                      <w:bCs/>
                      <w:lang w:eastAsia="lt-LT"/>
                    </w:rPr>
                  </w:pPr>
                  <w:r w:rsidRPr="001D43EA">
                    <w:rPr>
                      <w:rFonts w:ascii="Times New Roman" w:hAnsi="Times New Roman"/>
                      <w:bCs/>
                      <w:lang w:eastAsia="lt-LT"/>
                    </w:rPr>
                    <w:t xml:space="preserve">Prioritetas teikiamas tam projektui, kurio pareiškėjas ar partneris turi panašių veiklų įgyvendinimo patirties. </w:t>
                  </w:r>
                </w:p>
                <w:p w:rsidR="00C7212C" w:rsidRPr="001D43EA" w:rsidRDefault="00C7212C" w:rsidP="00011D1A">
                  <w:pPr>
                    <w:spacing w:line="256" w:lineRule="auto"/>
                    <w:jc w:val="both"/>
                    <w:rPr>
                      <w:rFonts w:ascii="Times New Roman" w:hAnsi="Times New Roman"/>
                      <w:b/>
                      <w:bCs/>
                      <w:lang w:eastAsia="lt-LT"/>
                    </w:rPr>
                  </w:pPr>
                  <w:r w:rsidRPr="001D43EA">
                    <w:rPr>
                      <w:rFonts w:ascii="Times New Roman" w:hAnsi="Times New Roman"/>
                      <w:b/>
                      <w:bCs/>
                      <w:lang w:eastAsia="lt-LT"/>
                    </w:rPr>
                    <w:t>Projektui skirtini balai nustatomi tokia tvarka:</w:t>
                  </w:r>
                </w:p>
                <w:p w:rsidR="00C7212C" w:rsidRPr="001D43EA" w:rsidRDefault="00C7212C" w:rsidP="00011D1A">
                  <w:pPr>
                    <w:spacing w:line="256" w:lineRule="auto"/>
                    <w:jc w:val="both"/>
                    <w:rPr>
                      <w:rFonts w:ascii="Times New Roman" w:hAnsi="Times New Roman"/>
                      <w:bCs/>
                    </w:rPr>
                  </w:pPr>
                  <w:r w:rsidRPr="001D43EA">
                    <w:rPr>
                      <w:rFonts w:ascii="Times New Roman" w:hAnsi="Times New Roman"/>
                      <w:bCs/>
                    </w:rPr>
                    <w:t>Panašių veiklų įgyvendinimo patirties turinčių pareiškėjų, partnerių projektams pagal šį kriterijų skiriama: kai panašios veiklos patirtis yra 2 metai ar daugiau - 20 balų, 1-2 metai – 10 balų; iki 1 metų – 5 balai.</w:t>
                  </w:r>
                </w:p>
                <w:p w:rsidR="00C7212C" w:rsidRPr="001D43EA" w:rsidRDefault="00C7212C" w:rsidP="00011D1A">
                  <w:pPr>
                    <w:spacing w:line="256" w:lineRule="auto"/>
                    <w:jc w:val="both"/>
                    <w:rPr>
                      <w:rFonts w:ascii="Times New Roman" w:hAnsi="Times New Roman"/>
                      <w:bCs/>
                    </w:rPr>
                  </w:pPr>
                  <w:r w:rsidRPr="001D43EA">
                    <w:rPr>
                      <w:rFonts w:ascii="Times New Roman" w:hAnsi="Times New Roman"/>
                      <w:bCs/>
                    </w:rPr>
                    <w:t>Panašios patirties neturinčių pareiškėjų, partnerių projektams – 0 balų.</w:t>
                  </w:r>
                </w:p>
                <w:p w:rsidR="00C7212C" w:rsidRPr="001D43EA" w:rsidRDefault="00C7212C" w:rsidP="00011D1A">
                  <w:pPr>
                    <w:spacing w:line="256" w:lineRule="auto"/>
                    <w:jc w:val="both"/>
                    <w:rPr>
                      <w:rFonts w:ascii="Times New Roman" w:hAnsi="Times New Roman"/>
                    </w:rPr>
                  </w:pPr>
                  <w:r w:rsidRPr="001D43EA">
                    <w:rPr>
                      <w:rFonts w:ascii="Times New Roman" w:hAnsi="Times New Roman"/>
                    </w:rPr>
                    <w:t>Nustatant, kokią patirtį turi pareiškėjas, partneris, sumuojama pareiškėjo ir partnerio patirtis.</w:t>
                  </w:r>
                </w:p>
                <w:p w:rsidR="00C7212C" w:rsidRPr="001D43EA" w:rsidRDefault="00C7212C" w:rsidP="00011D1A">
                  <w:pPr>
                    <w:spacing w:line="256" w:lineRule="auto"/>
                    <w:rPr>
                      <w:rFonts w:ascii="Times New Roman" w:hAnsi="Times New Roman"/>
                    </w:rPr>
                  </w:pPr>
                  <w:r w:rsidRPr="001D43EA">
                    <w:rPr>
                      <w:rFonts w:ascii="Times New Roman" w:hAnsi="Times New Roman"/>
                      <w:b/>
                      <w:i/>
                      <w:iCs/>
                    </w:rPr>
                    <w:t>Vartojamų sąvokų paaiškinimas</w:t>
                  </w:r>
                  <w:r w:rsidRPr="001D43EA">
                    <w:rPr>
                      <w:rFonts w:ascii="Times New Roman" w:hAnsi="Times New Roman"/>
                      <w:b/>
                      <w:iCs/>
                    </w:rPr>
                    <w:t>:</w:t>
                  </w:r>
                </w:p>
                <w:p w:rsidR="00C7212C" w:rsidRPr="001D43EA" w:rsidRDefault="00C7212C" w:rsidP="00011D1A">
                  <w:pPr>
                    <w:spacing w:line="256" w:lineRule="auto"/>
                    <w:jc w:val="both"/>
                    <w:rPr>
                      <w:rFonts w:ascii="Times New Roman" w:hAnsi="Times New Roman"/>
                      <w:b/>
                      <w:i/>
                      <w:iCs/>
                    </w:rPr>
                  </w:pPr>
                  <w:r w:rsidRPr="001D43EA">
                    <w:rPr>
                      <w:rFonts w:ascii="Times New Roman" w:hAnsi="Times New Roman"/>
                      <w:i/>
                      <w:u w:val="single"/>
                    </w:rPr>
                    <w:t>Panaši veikla</w:t>
                  </w:r>
                  <w:r w:rsidR="00A33D52">
                    <w:rPr>
                      <w:rFonts w:ascii="Times New Roman" w:hAnsi="Times New Roman"/>
                    </w:rPr>
                    <w:t xml:space="preserve"> </w:t>
                  </w:r>
                  <w:r w:rsidRPr="001D43EA">
                    <w:rPr>
                      <w:rFonts w:ascii="Times New Roman" w:hAnsi="Times New Roman"/>
                    </w:rPr>
                    <w:t xml:space="preserve">- </w:t>
                  </w:r>
                  <w:proofErr w:type="spellStart"/>
                  <w:r w:rsidRPr="001D43EA">
                    <w:rPr>
                      <w:rFonts w:ascii="Times New Roman" w:hAnsi="Times New Roman"/>
                    </w:rPr>
                    <w:t>sociakultūrinių</w:t>
                  </w:r>
                  <w:proofErr w:type="spellEnd"/>
                  <w:r w:rsidRPr="001D43EA">
                    <w:rPr>
                      <w:rFonts w:ascii="Times New Roman" w:hAnsi="Times New Roman"/>
                    </w:rPr>
                    <w:t xml:space="preserve"> paslaugų teikimas tikslinei grupei, kuri atitinka ar yra panaši (turi bendrų požymių) į projekto tikslinę grupę.</w:t>
                  </w:r>
                </w:p>
              </w:tc>
              <w:tc>
                <w:tcPr>
                  <w:tcW w:w="1134" w:type="dxa"/>
                  <w:tcBorders>
                    <w:top w:val="single" w:sz="4" w:space="0" w:color="auto"/>
                    <w:left w:val="single" w:sz="4" w:space="0" w:color="auto"/>
                    <w:bottom w:val="single" w:sz="4" w:space="0" w:color="auto"/>
                    <w:right w:val="single" w:sz="4" w:space="0" w:color="auto"/>
                  </w:tcBorders>
                </w:tcPr>
                <w:p w:rsidR="00C7212C" w:rsidRPr="001D43EA" w:rsidRDefault="00C7212C" w:rsidP="00011D1A">
                  <w:pPr>
                    <w:spacing w:line="256" w:lineRule="auto"/>
                    <w:jc w:val="center"/>
                    <w:rPr>
                      <w:rFonts w:ascii="Times New Roman" w:hAnsi="Times New Roman"/>
                      <w:b/>
                      <w:bCs/>
                      <w:i/>
                    </w:rPr>
                  </w:pPr>
                  <w:r w:rsidRPr="001D43EA">
                    <w:rPr>
                      <w:rFonts w:ascii="Times New Roman" w:hAnsi="Times New Roman"/>
                      <w:color w:val="000000"/>
                    </w:rPr>
                    <w:t>20 balų</w:t>
                  </w:r>
                </w:p>
              </w:tc>
            </w:tr>
            <w:tr w:rsidR="00C7212C" w:rsidRPr="001D43EA" w:rsidTr="00011D1A">
              <w:tc>
                <w:tcPr>
                  <w:tcW w:w="8392" w:type="dxa"/>
                  <w:gridSpan w:val="4"/>
                  <w:tcBorders>
                    <w:top w:val="single" w:sz="4" w:space="0" w:color="auto"/>
                    <w:left w:val="single" w:sz="4" w:space="0" w:color="auto"/>
                    <w:bottom w:val="single" w:sz="4" w:space="0" w:color="auto"/>
                    <w:right w:val="single" w:sz="4" w:space="0" w:color="auto"/>
                  </w:tcBorders>
                  <w:hideMark/>
                </w:tcPr>
                <w:p w:rsidR="00C7212C" w:rsidRPr="001D43EA" w:rsidRDefault="00C7212C" w:rsidP="00011D1A">
                  <w:pPr>
                    <w:spacing w:line="256" w:lineRule="auto"/>
                    <w:jc w:val="right"/>
                    <w:rPr>
                      <w:rFonts w:ascii="Times New Roman" w:hAnsi="Times New Roman"/>
                      <w:b/>
                      <w:bCs/>
                      <w:caps/>
                    </w:rPr>
                  </w:pPr>
                  <w:r w:rsidRPr="001D43EA">
                    <w:rPr>
                      <w:rFonts w:ascii="Times New Roman" w:hAnsi="Times New Roman"/>
                      <w:b/>
                      <w:bCs/>
                    </w:rPr>
                    <w:t>Suma</w:t>
                  </w:r>
                  <w:r w:rsidRPr="001D43EA">
                    <w:rPr>
                      <w:rFonts w:ascii="Times New Roman" w:hAnsi="Times New Roman"/>
                      <w:b/>
                      <w:bCs/>
                      <w:caps/>
                    </w:rPr>
                    <w:t>:</w:t>
                  </w:r>
                </w:p>
              </w:tc>
              <w:tc>
                <w:tcPr>
                  <w:tcW w:w="1134" w:type="dxa"/>
                  <w:tcBorders>
                    <w:top w:val="single" w:sz="4" w:space="0" w:color="auto"/>
                    <w:left w:val="single" w:sz="4" w:space="0" w:color="auto"/>
                    <w:bottom w:val="single" w:sz="4" w:space="0" w:color="auto"/>
                    <w:right w:val="single" w:sz="4" w:space="0" w:color="auto"/>
                  </w:tcBorders>
                  <w:hideMark/>
                </w:tcPr>
                <w:p w:rsidR="00C7212C" w:rsidRPr="001D43EA" w:rsidRDefault="00C7212C" w:rsidP="00011D1A">
                  <w:pPr>
                    <w:spacing w:line="256" w:lineRule="auto"/>
                    <w:jc w:val="center"/>
                    <w:rPr>
                      <w:rFonts w:ascii="Times New Roman" w:hAnsi="Times New Roman"/>
                      <w:b/>
                      <w:bCs/>
                      <w:i/>
                      <w:caps/>
                    </w:rPr>
                  </w:pPr>
                  <w:r w:rsidRPr="001D43EA">
                    <w:rPr>
                      <w:rFonts w:ascii="Times New Roman" w:hAnsi="Times New Roman"/>
                      <w:b/>
                      <w:color w:val="000000"/>
                    </w:rPr>
                    <w:t>100 balų</w:t>
                  </w:r>
                </w:p>
              </w:tc>
            </w:tr>
            <w:tr w:rsidR="00C7212C" w:rsidRPr="001D43EA" w:rsidTr="00011D1A">
              <w:tc>
                <w:tcPr>
                  <w:tcW w:w="8392" w:type="dxa"/>
                  <w:gridSpan w:val="4"/>
                  <w:tcBorders>
                    <w:top w:val="single" w:sz="4" w:space="0" w:color="auto"/>
                    <w:left w:val="single" w:sz="4" w:space="0" w:color="auto"/>
                    <w:bottom w:val="single" w:sz="4" w:space="0" w:color="auto"/>
                    <w:right w:val="single" w:sz="4" w:space="0" w:color="auto"/>
                  </w:tcBorders>
                  <w:hideMark/>
                </w:tcPr>
                <w:p w:rsidR="00C7212C" w:rsidRPr="001D43EA" w:rsidRDefault="00C7212C" w:rsidP="00011D1A">
                  <w:pPr>
                    <w:spacing w:line="256" w:lineRule="auto"/>
                    <w:jc w:val="right"/>
                    <w:rPr>
                      <w:rFonts w:ascii="Times New Roman" w:hAnsi="Times New Roman"/>
                      <w:b/>
                      <w:bCs/>
                    </w:rPr>
                  </w:pPr>
                  <w:r w:rsidRPr="001D43EA">
                    <w:rPr>
                      <w:rFonts w:ascii="Times New Roman" w:hAnsi="Times New Roman"/>
                      <w:b/>
                      <w:bCs/>
                    </w:rPr>
                    <w:t>Minimali privaloma surinkti balų suma:</w:t>
                  </w:r>
                </w:p>
              </w:tc>
              <w:tc>
                <w:tcPr>
                  <w:tcW w:w="1134" w:type="dxa"/>
                  <w:tcBorders>
                    <w:top w:val="single" w:sz="4" w:space="0" w:color="auto"/>
                    <w:left w:val="single" w:sz="4" w:space="0" w:color="auto"/>
                    <w:bottom w:val="single" w:sz="4" w:space="0" w:color="auto"/>
                    <w:right w:val="single" w:sz="4" w:space="0" w:color="auto"/>
                  </w:tcBorders>
                  <w:hideMark/>
                </w:tcPr>
                <w:p w:rsidR="00C7212C" w:rsidRPr="001D43EA" w:rsidRDefault="00C7212C" w:rsidP="00011D1A">
                  <w:pPr>
                    <w:spacing w:line="256" w:lineRule="auto"/>
                    <w:jc w:val="center"/>
                    <w:rPr>
                      <w:rFonts w:ascii="Times New Roman" w:hAnsi="Times New Roman"/>
                      <w:b/>
                      <w:bCs/>
                      <w:i/>
                      <w:caps/>
                    </w:rPr>
                  </w:pPr>
                  <w:r>
                    <w:rPr>
                      <w:rFonts w:ascii="Times New Roman" w:hAnsi="Times New Roman"/>
                      <w:b/>
                      <w:color w:val="000000"/>
                    </w:rPr>
                    <w:t>3</w:t>
                  </w:r>
                  <w:r w:rsidRPr="001D43EA">
                    <w:rPr>
                      <w:rFonts w:ascii="Times New Roman" w:hAnsi="Times New Roman"/>
                      <w:b/>
                      <w:color w:val="000000"/>
                    </w:rPr>
                    <w:t>0 balų</w:t>
                  </w:r>
                </w:p>
              </w:tc>
            </w:tr>
          </w:tbl>
          <w:p w:rsidR="00C7212C" w:rsidRPr="001D43EA" w:rsidRDefault="00C7212C" w:rsidP="00011D1A">
            <w:pPr>
              <w:spacing w:line="256" w:lineRule="auto"/>
              <w:ind w:firstLine="851"/>
              <w:jc w:val="center"/>
              <w:rPr>
                <w:rFonts w:ascii="Times New Roman" w:hAnsi="Times New Roman"/>
                <w:caps/>
              </w:rPr>
            </w:pPr>
          </w:p>
        </w:tc>
      </w:tr>
    </w:tbl>
    <w:p w:rsidR="00092212" w:rsidRDefault="00092212"/>
    <w:sectPr w:rsidR="00092212" w:rsidSect="00092212">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25ED4"/>
    <w:multiLevelType w:val="multilevel"/>
    <w:tmpl w:val="D9F633F2"/>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proofState w:spelling="clean" w:grammar="clean"/>
  <w:defaultTabStop w:val="1296"/>
  <w:hyphenationZone w:val="396"/>
  <w:characterSpacingControl w:val="doNotCompress"/>
  <w:compat/>
  <w:rsids>
    <w:rsidRoot w:val="00C7212C"/>
    <w:rsid w:val="00092212"/>
    <w:rsid w:val="000F3F5D"/>
    <w:rsid w:val="004552B5"/>
    <w:rsid w:val="005F4652"/>
    <w:rsid w:val="00A33D52"/>
    <w:rsid w:val="00A70203"/>
    <w:rsid w:val="00C7212C"/>
    <w:rsid w:val="00FB225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212C"/>
    <w:rPr>
      <w:rFonts w:ascii="Calibri" w:eastAsia="Calibri" w:hAnsi="Calibri"/>
      <w:smallCaps w:val="0"/>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7212C"/>
    <w:pPr>
      <w:ind w:left="720"/>
      <w:contextualSpacing/>
    </w:pPr>
  </w:style>
  <w:style w:type="paragraph" w:styleId="Debesliotekstas">
    <w:name w:val="Balloon Text"/>
    <w:basedOn w:val="prastasis"/>
    <w:link w:val="DebesliotekstasDiagrama"/>
    <w:uiPriority w:val="99"/>
    <w:semiHidden/>
    <w:unhideWhenUsed/>
    <w:rsid w:val="00FB225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B225A"/>
    <w:rPr>
      <w:rFonts w:ascii="Tahoma" w:eastAsia="Calibri" w:hAnsi="Tahoma" w:cs="Tahoma"/>
      <w:smallCaps w:val="0"/>
      <w:sz w:val="16"/>
      <w:szCs w:val="16"/>
    </w:rPr>
  </w:style>
  <w:style w:type="paragraph" w:styleId="Porat">
    <w:name w:val="footer"/>
    <w:basedOn w:val="prastasis"/>
    <w:link w:val="PoratDiagrama"/>
    <w:uiPriority w:val="99"/>
    <w:unhideWhenUsed/>
    <w:rsid w:val="005F465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F4652"/>
    <w:rPr>
      <w:rFonts w:ascii="Calibri" w:eastAsia="Calibri" w:hAnsi="Calibri"/>
      <w:smallCaps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10377</Words>
  <Characters>5915</Characters>
  <Application>Microsoft Office Word</Application>
  <DocSecurity>0</DocSecurity>
  <Lines>49</Lines>
  <Paragraphs>32</Paragraphs>
  <ScaleCrop>false</ScaleCrop>
  <Company/>
  <LinksUpToDate>false</LinksUpToDate>
  <CharactersWithSpaces>16260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2</cp:revision>
  <dcterms:created xsi:type="dcterms:W3CDTF">2019-11-19T07:00:00Z</dcterms:created>
  <dcterms:modified xsi:type="dcterms:W3CDTF">2019-11-19T07:00:00Z</dcterms:modified>
</cp:coreProperties>
</file>