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9639"/>
      </w:tblGrid>
      <w:tr w:rsidR="006450DF" w:rsidRPr="00DB3CD9" w:rsidTr="00ED0F2A">
        <w:trPr>
          <w:trHeight w:val="1055"/>
        </w:trPr>
        <w:tc>
          <w:tcPr>
            <w:tcW w:w="9639" w:type="dxa"/>
          </w:tcPr>
          <w:p w:rsidR="006450DF" w:rsidRPr="00DB3CD9" w:rsidRDefault="006450DF" w:rsidP="00ED0F2A">
            <w:pPr>
              <w:overflowPunct w:val="0"/>
              <w:autoSpaceDE w:val="0"/>
              <w:autoSpaceDN w:val="0"/>
              <w:adjustRightInd w:val="0"/>
              <w:spacing w:line="240" w:lineRule="atLeast"/>
              <w:jc w:val="center"/>
              <w:rPr>
                <w:rFonts w:ascii="Times New Roman" w:hAnsi="Times New Roman"/>
                <w:color w:val="000000"/>
                <w:sz w:val="24"/>
                <w:szCs w:val="24"/>
              </w:rPr>
            </w:pPr>
            <w:r>
              <w:rPr>
                <w:rFonts w:ascii="Times New Roman" w:hAnsi="Times New Roman"/>
                <w:noProof/>
                <w:sz w:val="24"/>
                <w:szCs w:val="24"/>
              </w:rPr>
              <w:drawing>
                <wp:inline distT="0" distB="0" distL="0" distR="0">
                  <wp:extent cx="421640" cy="532765"/>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srcRect/>
                          <a:stretch>
                            <a:fillRect/>
                          </a:stretch>
                        </pic:blipFill>
                        <pic:spPr bwMode="auto">
                          <a:xfrm>
                            <a:off x="0" y="0"/>
                            <a:ext cx="421640" cy="532765"/>
                          </a:xfrm>
                          <a:prstGeom prst="rect">
                            <a:avLst/>
                          </a:prstGeom>
                          <a:noFill/>
                          <a:ln w="9525">
                            <a:noFill/>
                            <a:miter lim="800000"/>
                            <a:headEnd/>
                            <a:tailEnd/>
                          </a:ln>
                        </pic:spPr>
                      </pic:pic>
                    </a:graphicData>
                  </a:graphic>
                </wp:inline>
              </w:drawing>
            </w:r>
          </w:p>
        </w:tc>
      </w:tr>
      <w:tr w:rsidR="006450DF" w:rsidRPr="00DB3CD9" w:rsidTr="00ED0F2A">
        <w:trPr>
          <w:trHeight w:val="1913"/>
        </w:trPr>
        <w:tc>
          <w:tcPr>
            <w:tcW w:w="9639" w:type="dxa"/>
          </w:tcPr>
          <w:p w:rsidR="006450DF" w:rsidRPr="00CB4550" w:rsidRDefault="006450DF" w:rsidP="00ED0F2A">
            <w:pPr>
              <w:pStyle w:val="Antrat2"/>
              <w:rPr>
                <w:szCs w:val="24"/>
              </w:rPr>
            </w:pPr>
            <w:r w:rsidRPr="00CB4550">
              <w:rPr>
                <w:szCs w:val="24"/>
              </w:rPr>
              <w:t>Pagėgių savivaldybės taryba</w:t>
            </w:r>
          </w:p>
          <w:p w:rsidR="006450DF" w:rsidRPr="00DB3CD9" w:rsidRDefault="006450DF" w:rsidP="00ED0F2A">
            <w:pPr>
              <w:overflowPunct w:val="0"/>
              <w:autoSpaceDE w:val="0"/>
              <w:autoSpaceDN w:val="0"/>
              <w:adjustRightInd w:val="0"/>
              <w:spacing w:before="120"/>
              <w:jc w:val="center"/>
              <w:rPr>
                <w:rFonts w:ascii="Times New Roman" w:hAnsi="Times New Roman"/>
                <w:b/>
                <w:bCs/>
                <w:caps/>
                <w:color w:val="000000"/>
                <w:sz w:val="24"/>
                <w:szCs w:val="24"/>
              </w:rPr>
            </w:pPr>
          </w:p>
          <w:p w:rsidR="006450DF" w:rsidRPr="00DB3CD9" w:rsidRDefault="006450DF" w:rsidP="00ED0F2A">
            <w:pPr>
              <w:overflowPunct w:val="0"/>
              <w:autoSpaceDE w:val="0"/>
              <w:autoSpaceDN w:val="0"/>
              <w:adjustRightInd w:val="0"/>
              <w:spacing w:before="120"/>
              <w:jc w:val="center"/>
              <w:rPr>
                <w:rFonts w:ascii="Times New Roman" w:hAnsi="Times New Roman"/>
                <w:b/>
                <w:bCs/>
                <w:caps/>
                <w:color w:val="000000"/>
                <w:sz w:val="24"/>
                <w:szCs w:val="24"/>
              </w:rPr>
            </w:pPr>
            <w:r w:rsidRPr="00DB3CD9">
              <w:rPr>
                <w:rFonts w:ascii="Times New Roman" w:hAnsi="Times New Roman"/>
                <w:b/>
                <w:bCs/>
                <w:caps/>
                <w:color w:val="000000"/>
                <w:sz w:val="24"/>
                <w:szCs w:val="24"/>
              </w:rPr>
              <w:t>sprendimas</w:t>
            </w:r>
          </w:p>
          <w:p w:rsidR="006450DF" w:rsidRPr="00DB3CD9" w:rsidRDefault="006450DF" w:rsidP="00ED0F2A">
            <w:pPr>
              <w:overflowPunct w:val="0"/>
              <w:autoSpaceDE w:val="0"/>
              <w:autoSpaceDN w:val="0"/>
              <w:adjustRightInd w:val="0"/>
              <w:spacing w:after="0"/>
              <w:jc w:val="center"/>
              <w:rPr>
                <w:rFonts w:ascii="Times New Roman" w:hAnsi="Times New Roman"/>
                <w:b/>
                <w:bCs/>
                <w:caps/>
                <w:color w:val="000000"/>
                <w:sz w:val="24"/>
                <w:szCs w:val="24"/>
              </w:rPr>
            </w:pPr>
            <w:smartTag w:uri="urn:schemas-microsoft-com:office:smarttags" w:element="State">
              <w:smartTag w:uri="urn:schemas-microsoft-com:office:smarttags" w:element="place">
                <w:r w:rsidRPr="00DB3CD9">
                  <w:rPr>
                    <w:rFonts w:ascii="Times New Roman" w:hAnsi="Times New Roman"/>
                    <w:b/>
                    <w:bCs/>
                    <w:caps/>
                    <w:color w:val="000000"/>
                    <w:sz w:val="24"/>
                    <w:szCs w:val="24"/>
                  </w:rPr>
                  <w:t>dėl</w:t>
                </w:r>
              </w:smartTag>
            </w:smartTag>
            <w:r w:rsidRPr="00DB3CD9">
              <w:rPr>
                <w:rFonts w:ascii="Times New Roman" w:hAnsi="Times New Roman"/>
                <w:b/>
                <w:bCs/>
                <w:caps/>
                <w:color w:val="000000"/>
                <w:sz w:val="24"/>
                <w:szCs w:val="24"/>
              </w:rPr>
              <w:t xml:space="preserve"> PAGĖGIŲ SAVIVALDYBĖS TARYBOS 2015 M. rugsėjo 9 D. SPRENDIMO</w:t>
            </w:r>
          </w:p>
          <w:p w:rsidR="006450DF" w:rsidRPr="00DB3CD9" w:rsidRDefault="006450DF" w:rsidP="00ED0F2A">
            <w:pPr>
              <w:overflowPunct w:val="0"/>
              <w:autoSpaceDE w:val="0"/>
              <w:autoSpaceDN w:val="0"/>
              <w:adjustRightInd w:val="0"/>
              <w:spacing w:after="0"/>
              <w:jc w:val="center"/>
              <w:rPr>
                <w:rFonts w:ascii="Times New Roman" w:hAnsi="Times New Roman"/>
                <w:b/>
                <w:bCs/>
                <w:caps/>
                <w:color w:val="000000"/>
                <w:sz w:val="24"/>
                <w:szCs w:val="24"/>
              </w:rPr>
            </w:pPr>
            <w:r w:rsidRPr="00DB3CD9">
              <w:rPr>
                <w:rFonts w:ascii="Times New Roman" w:hAnsi="Times New Roman"/>
                <w:b/>
                <w:bCs/>
                <w:caps/>
                <w:color w:val="000000"/>
                <w:sz w:val="24"/>
                <w:szCs w:val="24"/>
              </w:rPr>
              <w:t xml:space="preserve"> NR. T-156 „</w:t>
            </w:r>
            <w:smartTag w:uri="urn:schemas-microsoft-com:office:smarttags" w:element="State">
              <w:smartTag w:uri="urn:schemas-microsoft-com:office:smarttags" w:element="place">
                <w:r w:rsidRPr="00DB3CD9">
                  <w:rPr>
                    <w:rFonts w:ascii="Times New Roman" w:hAnsi="Times New Roman"/>
                    <w:b/>
                    <w:bCs/>
                    <w:caps/>
                    <w:color w:val="000000"/>
                    <w:sz w:val="24"/>
                    <w:szCs w:val="24"/>
                  </w:rPr>
                  <w:t>DĖL</w:t>
                </w:r>
              </w:smartTag>
            </w:smartTag>
            <w:r w:rsidRPr="00DB3CD9">
              <w:rPr>
                <w:rFonts w:ascii="Times New Roman" w:hAnsi="Times New Roman"/>
                <w:b/>
                <w:bCs/>
                <w:caps/>
                <w:color w:val="000000"/>
                <w:sz w:val="24"/>
                <w:szCs w:val="24"/>
              </w:rPr>
              <w:t xml:space="preserve"> parduodamų pagėgių savivaldybės būstų ir pagalbinio ūkio paskirties pastatų sąrašo patvirtinimo” PAkeitimo</w:t>
            </w:r>
          </w:p>
        </w:tc>
      </w:tr>
      <w:tr w:rsidR="006450DF" w:rsidRPr="00DB3CD9" w:rsidTr="00ED0F2A">
        <w:trPr>
          <w:trHeight w:val="703"/>
        </w:trPr>
        <w:tc>
          <w:tcPr>
            <w:tcW w:w="9639" w:type="dxa"/>
          </w:tcPr>
          <w:p w:rsidR="006450DF" w:rsidRPr="00CB4550" w:rsidRDefault="006450DF" w:rsidP="00ED0F2A">
            <w:pPr>
              <w:pStyle w:val="Antrat2"/>
              <w:rPr>
                <w:b w:val="0"/>
                <w:bCs w:val="0"/>
                <w:caps w:val="0"/>
                <w:szCs w:val="24"/>
              </w:rPr>
            </w:pPr>
            <w:r w:rsidRPr="00CB4550">
              <w:rPr>
                <w:b w:val="0"/>
                <w:bCs w:val="0"/>
                <w:caps w:val="0"/>
                <w:szCs w:val="24"/>
              </w:rPr>
              <w:t>20</w:t>
            </w:r>
            <w:r>
              <w:rPr>
                <w:b w:val="0"/>
                <w:bCs w:val="0"/>
                <w:caps w:val="0"/>
                <w:szCs w:val="24"/>
              </w:rPr>
              <w:t>25</w:t>
            </w:r>
            <w:r w:rsidRPr="00CB4550">
              <w:rPr>
                <w:b w:val="0"/>
                <w:bCs w:val="0"/>
                <w:caps w:val="0"/>
                <w:szCs w:val="24"/>
              </w:rPr>
              <w:t xml:space="preserve"> m. </w:t>
            </w:r>
            <w:r>
              <w:rPr>
                <w:b w:val="0"/>
                <w:bCs w:val="0"/>
                <w:caps w:val="0"/>
                <w:szCs w:val="24"/>
              </w:rPr>
              <w:t>birželio</w:t>
            </w:r>
            <w:r w:rsidRPr="00CB4550">
              <w:rPr>
                <w:b w:val="0"/>
                <w:bCs w:val="0"/>
                <w:caps w:val="0"/>
                <w:szCs w:val="24"/>
              </w:rPr>
              <w:t xml:space="preserve"> </w:t>
            </w:r>
            <w:r w:rsidR="00E52F5F">
              <w:rPr>
                <w:b w:val="0"/>
                <w:bCs w:val="0"/>
                <w:caps w:val="0"/>
                <w:szCs w:val="24"/>
              </w:rPr>
              <w:t>19</w:t>
            </w:r>
            <w:r w:rsidRPr="00CB4550">
              <w:rPr>
                <w:b w:val="0"/>
                <w:bCs w:val="0"/>
                <w:caps w:val="0"/>
                <w:color w:val="FF0000"/>
                <w:szCs w:val="24"/>
              </w:rPr>
              <w:t xml:space="preserve"> </w:t>
            </w:r>
            <w:r w:rsidRPr="00CB4550">
              <w:rPr>
                <w:b w:val="0"/>
                <w:bCs w:val="0"/>
                <w:caps w:val="0"/>
                <w:szCs w:val="24"/>
              </w:rPr>
              <w:t>d. Nr. T-</w:t>
            </w:r>
            <w:r w:rsidR="00E52F5F">
              <w:rPr>
                <w:b w:val="0"/>
                <w:bCs w:val="0"/>
                <w:caps w:val="0"/>
                <w:szCs w:val="24"/>
              </w:rPr>
              <w:t>108</w:t>
            </w:r>
          </w:p>
          <w:p w:rsidR="006450DF" w:rsidRPr="00DB3CD9" w:rsidRDefault="006450DF" w:rsidP="00ED0F2A">
            <w:pPr>
              <w:overflowPunct w:val="0"/>
              <w:autoSpaceDE w:val="0"/>
              <w:autoSpaceDN w:val="0"/>
              <w:adjustRightInd w:val="0"/>
              <w:jc w:val="center"/>
              <w:rPr>
                <w:rFonts w:ascii="Times New Roman" w:hAnsi="Times New Roman"/>
                <w:sz w:val="24"/>
                <w:szCs w:val="24"/>
              </w:rPr>
            </w:pPr>
            <w:r w:rsidRPr="00DB3CD9">
              <w:rPr>
                <w:rFonts w:ascii="Times New Roman" w:hAnsi="Times New Roman"/>
                <w:sz w:val="24"/>
                <w:szCs w:val="24"/>
              </w:rPr>
              <w:t>Pagėgiai</w:t>
            </w:r>
          </w:p>
        </w:tc>
      </w:tr>
    </w:tbl>
    <w:p w:rsidR="00F82700" w:rsidRPr="002B0091" w:rsidRDefault="00F82700" w:rsidP="00E52F5F">
      <w:pPr>
        <w:spacing w:after="0" w:line="360" w:lineRule="auto"/>
        <w:jc w:val="both"/>
        <w:rPr>
          <w:rFonts w:ascii="Times New Roman" w:hAnsi="Times New Roman"/>
          <w:sz w:val="24"/>
          <w:szCs w:val="24"/>
        </w:rPr>
      </w:pPr>
      <w:r>
        <w:rPr>
          <w:rFonts w:ascii="Times New Roman" w:hAnsi="Times New Roman"/>
          <w:sz w:val="24"/>
          <w:szCs w:val="24"/>
        </w:rPr>
        <w:tab/>
      </w:r>
      <w:r w:rsidRPr="002B0091">
        <w:rPr>
          <w:rFonts w:ascii="Times New Roman" w:hAnsi="Times New Roman"/>
          <w:sz w:val="24"/>
          <w:szCs w:val="24"/>
        </w:rPr>
        <w:t xml:space="preserve">Vadovaudamasi Lietuvos Respublikos vietos savivaldos įstatymo </w:t>
      </w:r>
      <w:r w:rsidRPr="004B7184">
        <w:rPr>
          <w:rFonts w:ascii="Times New Roman" w:hAnsi="Times New Roman"/>
          <w:sz w:val="24"/>
          <w:szCs w:val="24"/>
        </w:rPr>
        <w:t>6 straipsnio 15 punktu</w:t>
      </w:r>
      <w:r w:rsidRPr="002B0091">
        <w:rPr>
          <w:rFonts w:ascii="Times New Roman" w:hAnsi="Times New Roman"/>
          <w:sz w:val="24"/>
          <w:szCs w:val="24"/>
        </w:rPr>
        <w:t>, Lietuvos Respub</w:t>
      </w:r>
      <w:bookmarkStart w:id="0" w:name="_GoBack"/>
      <w:bookmarkEnd w:id="0"/>
      <w:r w:rsidRPr="002B0091">
        <w:rPr>
          <w:rFonts w:ascii="Times New Roman" w:hAnsi="Times New Roman"/>
          <w:sz w:val="24"/>
          <w:szCs w:val="24"/>
        </w:rPr>
        <w:t>likos Paramos būstui įsigyti ar išsinuomoti įstatymo 4 straipsnio 5 dalies 6 punktu, Pagėgių savivaldybės taryba n u s p r e n d ž i a:</w:t>
      </w:r>
    </w:p>
    <w:p w:rsidR="00F82700" w:rsidRPr="00AA4FC5" w:rsidRDefault="00AA4FC5" w:rsidP="00E52F5F">
      <w:pPr>
        <w:spacing w:line="360" w:lineRule="auto"/>
        <w:ind w:firstLine="1276"/>
        <w:jc w:val="both"/>
        <w:rPr>
          <w:rFonts w:ascii="Times New Roman" w:hAnsi="Times New Roman"/>
          <w:sz w:val="24"/>
          <w:szCs w:val="24"/>
        </w:rPr>
      </w:pPr>
      <w:r w:rsidRPr="00AA4FC5">
        <w:rPr>
          <w:rFonts w:ascii="Times New Roman" w:hAnsi="Times New Roman"/>
          <w:sz w:val="24"/>
          <w:szCs w:val="24"/>
        </w:rPr>
        <w:t>1.</w:t>
      </w:r>
      <w:r>
        <w:rPr>
          <w:rFonts w:ascii="Times New Roman" w:hAnsi="Times New Roman"/>
          <w:sz w:val="24"/>
          <w:szCs w:val="24"/>
        </w:rPr>
        <w:t xml:space="preserve"> </w:t>
      </w:r>
      <w:r w:rsidRPr="00AA4FC5">
        <w:rPr>
          <w:rFonts w:ascii="Times New Roman" w:hAnsi="Times New Roman"/>
          <w:sz w:val="24"/>
          <w:szCs w:val="24"/>
        </w:rPr>
        <w:t>Pakeisti Parduodamų Pagėgių savivaldybės būstų ir pagalbinio ūkio paskirties pastatų sąrašą, patvirtintą Pagėgių savivaldybės tarybos 2015 m. rugsėjo 9 d. sprendimu Nr. T-156 „Dėl parduodamų Pagėgių savivaldybės būstų ir pagalbinio ūkio paskirties pastatų sąrašo patvirtinimo“ ir jį papildyti 26 eilute: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1482"/>
        <w:gridCol w:w="3078"/>
        <w:gridCol w:w="2736"/>
        <w:gridCol w:w="1611"/>
      </w:tblGrid>
      <w:tr w:rsidR="00F82700" w:rsidRPr="00DB3CD9" w:rsidTr="00ED0F2A">
        <w:trPr>
          <w:trHeight w:val="489"/>
        </w:trPr>
        <w:tc>
          <w:tcPr>
            <w:tcW w:w="678" w:type="dxa"/>
          </w:tcPr>
          <w:p w:rsidR="00F82700" w:rsidRPr="00DB3CD9" w:rsidRDefault="00F82700" w:rsidP="00E52F5F">
            <w:pPr>
              <w:spacing w:line="360" w:lineRule="auto"/>
              <w:jc w:val="center"/>
              <w:rPr>
                <w:rFonts w:ascii="Times New Roman" w:hAnsi="Times New Roman"/>
                <w:sz w:val="24"/>
                <w:szCs w:val="24"/>
              </w:rPr>
            </w:pPr>
            <w:r w:rsidRPr="000D54A1">
              <w:rPr>
                <w:rFonts w:ascii="Times New Roman" w:hAnsi="Times New Roman"/>
                <w:sz w:val="24"/>
                <w:szCs w:val="24"/>
              </w:rPr>
              <w:t>2</w:t>
            </w:r>
            <w:r>
              <w:rPr>
                <w:rFonts w:ascii="Times New Roman" w:hAnsi="Times New Roman"/>
                <w:sz w:val="24"/>
                <w:szCs w:val="24"/>
              </w:rPr>
              <w:t>6</w:t>
            </w:r>
            <w:r w:rsidRPr="000D54A1">
              <w:rPr>
                <w:rFonts w:ascii="Times New Roman" w:hAnsi="Times New Roman"/>
                <w:sz w:val="24"/>
                <w:szCs w:val="24"/>
              </w:rPr>
              <w:t>.</w:t>
            </w:r>
          </w:p>
        </w:tc>
        <w:tc>
          <w:tcPr>
            <w:tcW w:w="1482" w:type="dxa"/>
          </w:tcPr>
          <w:p w:rsidR="00F82700" w:rsidRPr="00DB3CD9" w:rsidRDefault="00635A8B" w:rsidP="00E52F5F">
            <w:pPr>
              <w:spacing w:line="360" w:lineRule="auto"/>
              <w:jc w:val="center"/>
              <w:rPr>
                <w:rFonts w:ascii="Times New Roman" w:hAnsi="Times New Roman"/>
                <w:sz w:val="24"/>
                <w:szCs w:val="24"/>
              </w:rPr>
            </w:pPr>
            <w:r>
              <w:rPr>
                <w:rFonts w:ascii="Times New Roman" w:hAnsi="Times New Roman"/>
                <w:sz w:val="24"/>
                <w:szCs w:val="24"/>
              </w:rPr>
              <w:t>1/3 ūkinio pastato</w:t>
            </w:r>
          </w:p>
        </w:tc>
        <w:tc>
          <w:tcPr>
            <w:tcW w:w="3078" w:type="dxa"/>
          </w:tcPr>
          <w:p w:rsidR="00F82700" w:rsidRPr="00DB3CD9" w:rsidRDefault="00635A8B" w:rsidP="00E52F5F">
            <w:pPr>
              <w:spacing w:line="360" w:lineRule="auto"/>
              <w:jc w:val="both"/>
              <w:rPr>
                <w:rFonts w:ascii="Times New Roman" w:hAnsi="Times New Roman"/>
                <w:sz w:val="24"/>
                <w:szCs w:val="24"/>
              </w:rPr>
            </w:pPr>
            <w:r>
              <w:rPr>
                <w:rFonts w:ascii="Times New Roman" w:hAnsi="Times New Roman"/>
                <w:sz w:val="24"/>
                <w:szCs w:val="24"/>
              </w:rPr>
              <w:t>Vytauto g. 10A</w:t>
            </w:r>
            <w:r w:rsidR="00F82700" w:rsidRPr="00DB3CD9">
              <w:rPr>
                <w:rFonts w:ascii="Times New Roman" w:hAnsi="Times New Roman"/>
                <w:sz w:val="24"/>
                <w:szCs w:val="24"/>
              </w:rPr>
              <w:t xml:space="preserve">, Pagėgių </w:t>
            </w:r>
            <w:r>
              <w:rPr>
                <w:rFonts w:ascii="Times New Roman" w:hAnsi="Times New Roman"/>
                <w:sz w:val="24"/>
                <w:szCs w:val="24"/>
              </w:rPr>
              <w:t>m</w:t>
            </w:r>
            <w:r w:rsidR="00F82700" w:rsidRPr="00DB3CD9">
              <w:rPr>
                <w:rFonts w:ascii="Times New Roman" w:hAnsi="Times New Roman"/>
                <w:sz w:val="24"/>
                <w:szCs w:val="24"/>
              </w:rPr>
              <w:t xml:space="preserve">. </w:t>
            </w:r>
          </w:p>
        </w:tc>
        <w:tc>
          <w:tcPr>
            <w:tcW w:w="2736" w:type="dxa"/>
          </w:tcPr>
          <w:p w:rsidR="00F82700" w:rsidRPr="00DB3CD9" w:rsidRDefault="00F82700" w:rsidP="00E52F5F">
            <w:pPr>
              <w:spacing w:line="360" w:lineRule="auto"/>
              <w:jc w:val="center"/>
              <w:rPr>
                <w:rFonts w:ascii="Times New Roman" w:hAnsi="Times New Roman"/>
                <w:sz w:val="24"/>
                <w:szCs w:val="24"/>
              </w:rPr>
            </w:pPr>
            <w:r>
              <w:rPr>
                <w:rFonts w:ascii="Times New Roman" w:hAnsi="Times New Roman"/>
                <w:sz w:val="24"/>
                <w:szCs w:val="24"/>
              </w:rPr>
              <w:t>889</w:t>
            </w:r>
            <w:r w:rsidR="00635A8B">
              <w:rPr>
                <w:rFonts w:ascii="Times New Roman" w:hAnsi="Times New Roman"/>
                <w:sz w:val="24"/>
                <w:szCs w:val="24"/>
              </w:rPr>
              <w:t>3</w:t>
            </w:r>
            <w:r w:rsidRPr="00DB3CD9">
              <w:rPr>
                <w:rFonts w:ascii="Times New Roman" w:hAnsi="Times New Roman"/>
                <w:sz w:val="24"/>
                <w:szCs w:val="24"/>
              </w:rPr>
              <w:t>-</w:t>
            </w:r>
            <w:r>
              <w:rPr>
                <w:rFonts w:ascii="Times New Roman" w:hAnsi="Times New Roman"/>
                <w:sz w:val="24"/>
                <w:szCs w:val="24"/>
              </w:rPr>
              <w:t>00</w:t>
            </w:r>
            <w:r w:rsidR="00635A8B">
              <w:rPr>
                <w:rFonts w:ascii="Times New Roman" w:hAnsi="Times New Roman"/>
                <w:sz w:val="24"/>
                <w:szCs w:val="24"/>
              </w:rPr>
              <w:t>01</w:t>
            </w:r>
            <w:r w:rsidRPr="00DB3CD9">
              <w:rPr>
                <w:rFonts w:ascii="Times New Roman" w:hAnsi="Times New Roman"/>
                <w:sz w:val="24"/>
                <w:szCs w:val="24"/>
              </w:rPr>
              <w:t>-</w:t>
            </w:r>
            <w:r w:rsidR="00635A8B">
              <w:rPr>
                <w:rFonts w:ascii="Times New Roman" w:hAnsi="Times New Roman"/>
                <w:sz w:val="24"/>
                <w:szCs w:val="24"/>
              </w:rPr>
              <w:t>2</w:t>
            </w:r>
            <w:r>
              <w:rPr>
                <w:rFonts w:ascii="Times New Roman" w:hAnsi="Times New Roman"/>
                <w:sz w:val="24"/>
                <w:szCs w:val="24"/>
              </w:rPr>
              <w:t>0</w:t>
            </w:r>
            <w:r w:rsidR="00635A8B">
              <w:rPr>
                <w:rFonts w:ascii="Times New Roman" w:hAnsi="Times New Roman"/>
                <w:sz w:val="24"/>
                <w:szCs w:val="24"/>
              </w:rPr>
              <w:t>27</w:t>
            </w:r>
          </w:p>
        </w:tc>
        <w:tc>
          <w:tcPr>
            <w:tcW w:w="1611" w:type="dxa"/>
          </w:tcPr>
          <w:p w:rsidR="00F82700" w:rsidRPr="00DB3CD9" w:rsidRDefault="00635A8B" w:rsidP="00E52F5F">
            <w:pPr>
              <w:spacing w:line="360" w:lineRule="auto"/>
              <w:jc w:val="center"/>
              <w:rPr>
                <w:rFonts w:ascii="Times New Roman" w:hAnsi="Times New Roman"/>
                <w:sz w:val="24"/>
                <w:szCs w:val="24"/>
              </w:rPr>
            </w:pPr>
            <w:r>
              <w:rPr>
                <w:rFonts w:ascii="Times New Roman" w:hAnsi="Times New Roman"/>
                <w:sz w:val="24"/>
                <w:szCs w:val="24"/>
              </w:rPr>
              <w:t>5</w:t>
            </w:r>
            <w:r w:rsidR="00F82700">
              <w:rPr>
                <w:rFonts w:ascii="Times New Roman" w:hAnsi="Times New Roman"/>
                <w:sz w:val="24"/>
                <w:szCs w:val="24"/>
              </w:rPr>
              <w:t>7</w:t>
            </w:r>
            <w:r w:rsidR="00F82700" w:rsidRPr="00DB3CD9">
              <w:rPr>
                <w:rFonts w:ascii="Times New Roman" w:hAnsi="Times New Roman"/>
                <w:sz w:val="24"/>
                <w:szCs w:val="24"/>
              </w:rPr>
              <w:t>,</w:t>
            </w:r>
            <w:r>
              <w:rPr>
                <w:rFonts w:ascii="Times New Roman" w:hAnsi="Times New Roman"/>
                <w:sz w:val="24"/>
                <w:szCs w:val="24"/>
              </w:rPr>
              <w:t>67</w:t>
            </w:r>
          </w:p>
        </w:tc>
      </w:tr>
    </w:tbl>
    <w:p w:rsidR="00F82700" w:rsidRDefault="00F82700" w:rsidP="00E52F5F">
      <w:pPr>
        <w:spacing w:after="0" w:line="360" w:lineRule="auto"/>
        <w:ind w:firstLine="360"/>
        <w:jc w:val="both"/>
        <w:rPr>
          <w:rFonts w:ascii="Times New Roman" w:hAnsi="Times New Roman"/>
          <w:sz w:val="24"/>
          <w:szCs w:val="24"/>
        </w:rPr>
      </w:pPr>
      <w:r w:rsidRPr="002B0091">
        <w:rPr>
          <w:rFonts w:ascii="Times New Roman" w:hAnsi="Times New Roman"/>
          <w:sz w:val="24"/>
          <w:szCs w:val="24"/>
        </w:rPr>
        <w:t xml:space="preserve">                2. Sprendimą paskelbti Pagėgių savivaldybės interneto svetainėje  www.pagegiai.lt.</w:t>
      </w:r>
    </w:p>
    <w:p w:rsidR="00F82700" w:rsidRDefault="00F82700" w:rsidP="00E52F5F">
      <w:pPr>
        <w:spacing w:after="0" w:line="360" w:lineRule="auto"/>
        <w:jc w:val="both"/>
        <w:rPr>
          <w:rFonts w:ascii="Times New Roman" w:hAnsi="Times New Roman"/>
          <w:sz w:val="24"/>
          <w:szCs w:val="24"/>
        </w:rPr>
      </w:pPr>
      <w:r>
        <w:rPr>
          <w:rFonts w:ascii="Times New Roman" w:hAnsi="Times New Roman"/>
          <w:sz w:val="24"/>
          <w:szCs w:val="24"/>
        </w:rPr>
        <w:tab/>
      </w:r>
      <w:r w:rsidRPr="008F3BA1">
        <w:rPr>
          <w:rFonts w:ascii="Times New Roman" w:hAnsi="Times New Roman"/>
          <w:sz w:val="24"/>
          <w:szCs w:val="24"/>
        </w:rPr>
        <w:t xml:space="preserve">Šis </w:t>
      </w:r>
      <w:r>
        <w:rPr>
          <w:rFonts w:ascii="Times New Roman" w:hAnsi="Times New Roman"/>
          <w:sz w:val="24"/>
          <w:szCs w:val="24"/>
        </w:rPr>
        <w:t>sprendimas</w:t>
      </w:r>
      <w:r w:rsidRPr="008F3BA1">
        <w:rPr>
          <w:rFonts w:ascii="Times New Roman" w:hAnsi="Times New Roman"/>
          <w:sz w:val="24"/>
          <w:szCs w:val="24"/>
        </w:rPr>
        <w:t xml:space="preserve"> per vieną mėnesį nuo jo paskelbimo arba įteikimo dienos gali būti skundžiamas Lietuvos administracinių ginčų komisijos Klaipėdos apygardos skyriui (H. Manto g. 37, 92236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Lietuvos Respublikos administracinių bylų teisenos įstatymo nustatyta tvarka.</w:t>
      </w:r>
    </w:p>
    <w:p w:rsidR="00AA4FC5" w:rsidRDefault="00AA4FC5" w:rsidP="00F82700">
      <w:pPr>
        <w:spacing w:after="0" w:line="240" w:lineRule="auto"/>
        <w:jc w:val="both"/>
        <w:rPr>
          <w:rFonts w:ascii="Times New Roman" w:hAnsi="Times New Roman"/>
          <w:sz w:val="24"/>
          <w:szCs w:val="24"/>
        </w:rPr>
      </w:pPr>
    </w:p>
    <w:p w:rsidR="00E52F5F" w:rsidRDefault="00E52F5F" w:rsidP="00F82700">
      <w:pPr>
        <w:spacing w:after="0" w:line="240" w:lineRule="auto"/>
        <w:jc w:val="both"/>
        <w:rPr>
          <w:rFonts w:ascii="Times New Roman" w:hAnsi="Times New Roman"/>
          <w:sz w:val="24"/>
          <w:szCs w:val="24"/>
        </w:rPr>
      </w:pPr>
    </w:p>
    <w:p w:rsidR="00E52F5F" w:rsidRDefault="00E52F5F" w:rsidP="00F82700">
      <w:pPr>
        <w:spacing w:after="0" w:line="240" w:lineRule="auto"/>
        <w:jc w:val="both"/>
        <w:rPr>
          <w:rFonts w:ascii="Times New Roman" w:hAnsi="Times New Roman"/>
          <w:sz w:val="24"/>
          <w:szCs w:val="24"/>
        </w:rPr>
      </w:pPr>
    </w:p>
    <w:p w:rsidR="00F82700" w:rsidRDefault="00AA4FC5" w:rsidP="00F82700">
      <w:pPr>
        <w:spacing w:after="0" w:line="240" w:lineRule="auto"/>
        <w:jc w:val="both"/>
        <w:rPr>
          <w:rFonts w:ascii="Times New Roman" w:hAnsi="Times New Roman"/>
          <w:sz w:val="24"/>
          <w:szCs w:val="24"/>
          <w:lang w:val="pt-BR"/>
        </w:rPr>
      </w:pPr>
      <w:r>
        <w:rPr>
          <w:rFonts w:ascii="Times New Roman" w:hAnsi="Times New Roman"/>
          <w:sz w:val="24"/>
          <w:szCs w:val="24"/>
          <w:lang w:val="pt-BR"/>
        </w:rPr>
        <w:t>S</w:t>
      </w:r>
      <w:r w:rsidR="00F82700">
        <w:rPr>
          <w:rFonts w:ascii="Times New Roman" w:hAnsi="Times New Roman"/>
          <w:sz w:val="24"/>
          <w:szCs w:val="24"/>
          <w:lang w:val="pt-BR"/>
        </w:rPr>
        <w:t>avivaldybės meras</w:t>
      </w:r>
      <w:r w:rsidR="00F82700">
        <w:rPr>
          <w:rFonts w:ascii="Times New Roman" w:hAnsi="Times New Roman"/>
          <w:sz w:val="24"/>
          <w:szCs w:val="24"/>
          <w:lang w:val="pt-BR"/>
        </w:rPr>
        <w:tab/>
        <w:t xml:space="preserve">                                                       </w:t>
      </w:r>
      <w:r>
        <w:rPr>
          <w:rFonts w:ascii="Times New Roman" w:hAnsi="Times New Roman"/>
          <w:sz w:val="24"/>
          <w:szCs w:val="24"/>
          <w:lang w:val="pt-BR"/>
        </w:rPr>
        <w:t xml:space="preserve">                      </w:t>
      </w:r>
      <w:r w:rsidR="00F82700">
        <w:rPr>
          <w:rFonts w:ascii="Times New Roman" w:hAnsi="Times New Roman"/>
          <w:sz w:val="24"/>
          <w:szCs w:val="24"/>
          <w:lang w:val="pt-BR"/>
        </w:rPr>
        <w:t>Vaidas Bendaravičius</w:t>
      </w:r>
    </w:p>
    <w:p w:rsidR="00F82700" w:rsidRDefault="00F82700" w:rsidP="00F82700">
      <w:pPr>
        <w:spacing w:after="0" w:line="240" w:lineRule="auto"/>
        <w:jc w:val="both"/>
        <w:rPr>
          <w:rFonts w:ascii="Times New Roman" w:hAnsi="Times New Roman"/>
          <w:sz w:val="24"/>
          <w:szCs w:val="24"/>
        </w:rPr>
      </w:pPr>
    </w:p>
    <w:sectPr w:rsidR="00F82700" w:rsidSect="00191F80">
      <w:pgSz w:w="11906" w:h="16838"/>
      <w:pgMar w:top="102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C6A4D"/>
    <w:multiLevelType w:val="hybridMultilevel"/>
    <w:tmpl w:val="DF02145E"/>
    <w:lvl w:ilvl="0" w:tplc="641C072E">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nsid w:val="1D7F4F4F"/>
    <w:multiLevelType w:val="hybridMultilevel"/>
    <w:tmpl w:val="E0B07FAA"/>
    <w:lvl w:ilvl="0" w:tplc="BE3202F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2"/>
  </w:compat>
  <w:rsids>
    <w:rsidRoot w:val="006450DF"/>
    <w:rsid w:val="00191F80"/>
    <w:rsid w:val="001F481E"/>
    <w:rsid w:val="00361A11"/>
    <w:rsid w:val="004C43CE"/>
    <w:rsid w:val="00635A8B"/>
    <w:rsid w:val="006450DF"/>
    <w:rsid w:val="008726C2"/>
    <w:rsid w:val="00926B5C"/>
    <w:rsid w:val="00AA4FC5"/>
    <w:rsid w:val="00BC2B78"/>
    <w:rsid w:val="00C41764"/>
    <w:rsid w:val="00DF3391"/>
    <w:rsid w:val="00E52F5F"/>
    <w:rsid w:val="00F82700"/>
    <w:rsid w:val="00FF5C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31E09DE6-50CA-4908-98E4-C7BB63EF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9"/>
    <w:qFormat/>
    <w:rsid w:val="006450DF"/>
    <w:pPr>
      <w:keepNext/>
      <w:overflowPunct w:val="0"/>
      <w:autoSpaceDE w:val="0"/>
      <w:autoSpaceDN w:val="0"/>
      <w:adjustRightInd w:val="0"/>
      <w:spacing w:before="120" w:after="0" w:line="240" w:lineRule="auto"/>
      <w:jc w:val="center"/>
      <w:textAlignment w:val="baseline"/>
      <w:outlineLvl w:val="1"/>
    </w:pPr>
    <w:rPr>
      <w:rFonts w:ascii="Times New Roman" w:eastAsia="Times New Roman" w:hAnsi="Times New Roman" w:cs="Times New Roman"/>
      <w:b/>
      <w:bCs/>
      <w:caps/>
      <w:color w:val="000000"/>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6450DF"/>
    <w:rPr>
      <w:rFonts w:ascii="Times New Roman" w:eastAsia="Times New Roman" w:hAnsi="Times New Roman" w:cs="Times New Roman"/>
      <w:b/>
      <w:bCs/>
      <w:caps/>
      <w:color w:val="000000"/>
      <w:sz w:val="24"/>
      <w:szCs w:val="20"/>
      <w:lang w:eastAsia="en-US"/>
    </w:rPr>
  </w:style>
  <w:style w:type="paragraph" w:styleId="Debesliotekstas">
    <w:name w:val="Balloon Text"/>
    <w:basedOn w:val="prastasis"/>
    <w:link w:val="DebesliotekstasDiagrama"/>
    <w:uiPriority w:val="99"/>
    <w:semiHidden/>
    <w:unhideWhenUsed/>
    <w:rsid w:val="006450D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50DF"/>
    <w:rPr>
      <w:rFonts w:ascii="Tahoma" w:hAnsi="Tahoma" w:cs="Tahoma"/>
      <w:sz w:val="16"/>
      <w:szCs w:val="16"/>
    </w:rPr>
  </w:style>
  <w:style w:type="paragraph" w:styleId="Sraopastraipa">
    <w:name w:val="List Paragraph"/>
    <w:basedOn w:val="prastasis"/>
    <w:uiPriority w:val="34"/>
    <w:qFormat/>
    <w:rsid w:val="00AA4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1105</Words>
  <Characters>630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Comp</cp:lastModifiedBy>
  <cp:revision>12</cp:revision>
  <dcterms:created xsi:type="dcterms:W3CDTF">2025-06-03T12:13:00Z</dcterms:created>
  <dcterms:modified xsi:type="dcterms:W3CDTF">2025-06-20T07:22:00Z</dcterms:modified>
</cp:coreProperties>
</file>