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772F54" w14:textId="3DDD2FEF" w:rsidR="001A75DB" w:rsidRDefault="001A75DB" w:rsidP="00982088">
      <w:pPr>
        <w:jc w:val="center"/>
        <w:rPr>
          <w:b/>
          <w:bCs/>
          <w:szCs w:val="24"/>
        </w:rPr>
      </w:pPr>
      <w:bookmarkStart w:id="0" w:name="_Hlk169861910"/>
      <w:bookmarkStart w:id="1" w:name="_GoBack"/>
      <w:bookmarkEnd w:id="1"/>
      <w:r>
        <w:rPr>
          <w:b/>
          <w:bCs/>
          <w:szCs w:val="24"/>
        </w:rPr>
        <w:t xml:space="preserve">TUBERKULINO MĖGINIŲ ATLIKIMO </w:t>
      </w:r>
      <w:r w:rsidR="00A650A9">
        <w:rPr>
          <w:b/>
          <w:bCs/>
          <w:szCs w:val="24"/>
        </w:rPr>
        <w:t>PAGĖGIŲ</w:t>
      </w:r>
      <w:r>
        <w:rPr>
          <w:b/>
          <w:bCs/>
          <w:szCs w:val="24"/>
        </w:rPr>
        <w:t xml:space="preserve"> SAV</w:t>
      </w:r>
      <w:r w:rsidR="000A00CD">
        <w:rPr>
          <w:b/>
          <w:bCs/>
          <w:szCs w:val="24"/>
        </w:rPr>
        <w:t>IVALDYBĖJE</w:t>
      </w:r>
      <w:r>
        <w:rPr>
          <w:b/>
          <w:bCs/>
          <w:szCs w:val="24"/>
        </w:rPr>
        <w:t xml:space="preserve"> </w:t>
      </w:r>
      <w:r w:rsidR="00982088">
        <w:rPr>
          <w:b/>
          <w:bCs/>
          <w:szCs w:val="24"/>
        </w:rPr>
        <w:t>202</w:t>
      </w:r>
      <w:r w:rsidR="00D611E1">
        <w:rPr>
          <w:b/>
          <w:bCs/>
          <w:szCs w:val="24"/>
        </w:rPr>
        <w:t>3</w:t>
      </w:r>
      <w:r w:rsidR="00982088">
        <w:rPr>
          <w:b/>
          <w:bCs/>
          <w:szCs w:val="24"/>
        </w:rPr>
        <w:t>-202</w:t>
      </w:r>
      <w:r w:rsidR="00D611E1">
        <w:rPr>
          <w:b/>
          <w:bCs/>
          <w:szCs w:val="24"/>
        </w:rPr>
        <w:t>4</w:t>
      </w:r>
      <w:r w:rsidR="00982088">
        <w:rPr>
          <w:b/>
          <w:bCs/>
          <w:szCs w:val="24"/>
        </w:rPr>
        <w:t xml:space="preserve"> METAIS </w:t>
      </w:r>
      <w:r>
        <w:rPr>
          <w:b/>
          <w:bCs/>
          <w:szCs w:val="24"/>
        </w:rPr>
        <w:t xml:space="preserve">APŽVALGA </w:t>
      </w:r>
    </w:p>
    <w:p w14:paraId="005F5B33" w14:textId="77777777" w:rsidR="001A75DB" w:rsidRDefault="001A75DB" w:rsidP="001A75DB">
      <w:pPr>
        <w:jc w:val="both"/>
        <w:rPr>
          <w:szCs w:val="24"/>
        </w:rPr>
      </w:pPr>
    </w:p>
    <w:bookmarkEnd w:id="0"/>
    <w:p w14:paraId="653A510C" w14:textId="77777777" w:rsidR="001A75DB" w:rsidRDefault="001A75DB" w:rsidP="001A75DB">
      <w:pPr>
        <w:jc w:val="both"/>
        <w:rPr>
          <w:szCs w:val="24"/>
        </w:rPr>
      </w:pPr>
    </w:p>
    <w:p w14:paraId="296F5362" w14:textId="744CA576" w:rsidR="00982088" w:rsidRPr="00A650A9" w:rsidRDefault="001A75DB" w:rsidP="00982088">
      <w:pPr>
        <w:pStyle w:val="Default"/>
        <w:ind w:firstLine="567"/>
        <w:jc w:val="both"/>
      </w:pPr>
      <w:r w:rsidRPr="00A650A9">
        <w:t xml:space="preserve">Vadovaujantis Lietuvos Respublikos sveikatos apsaugos ministro 2002 m. rugpjūčio 6 d. įsakymu Nr. 399 „Dėl </w:t>
      </w:r>
      <w:r w:rsidR="00996861">
        <w:t>t</w:t>
      </w:r>
      <w:r w:rsidRPr="00A650A9">
        <w:t xml:space="preserve">uberkulino mėginių atlikimo ir statistinės ataskaitos formos Nr. 9 „Tuberkulino mėginių atlikimo statistinė ataskaita“ patvirtinimo“, Lietuvoje kiekvienais metais turi būti atliekamas tuberkulino mėginys (TM) visiems vaikams prieš pradedant lankyti mokyklą (6 ar 7 metų amžiaus) ir 0–17 m. vaikams, priklausantiems šioms rizikos grupėms: neskiepytiems nuo tuberkuliozės (TB), bendraujantiems su sergančiais tuberkulioze (šeimoje, kolektyve), dažnai sergantiems viršutinių kvėpavimo takų ligomis, sergantiems lėtinėmis ligomis, gydomiems kortikosteroidais, infekuotiems žmogaus imunodeficito virusu (ŽIV) arba esant kitoms imunodeficitinėms būklėms, vaikams iš socialinės rizikos šeimų, gyvenantiems sutrikusio vystymosi kūdikių namuose, vaikų globos namuose, internatuose, pensionatuose, migrantams. </w:t>
      </w:r>
      <w:r w:rsidR="00982088" w:rsidRPr="00A650A9">
        <w:t>Įodinis TM, arba Mantu testas, – tai tyrimo metodas, naudojamas užsikrėtimui tuberkuliozės mikobakterijomis nustatyti. Jis atliekamas į odą vidinėje dilbio dalyje įšvirkščiant nedidelį kiekį susilpnintų tuberkuliozės mikobakterijų išskirto baltymo. Mėginio vietą vaikų ligų ar šeimos gydytojas įvertina po 48–72 valandų.</w:t>
      </w:r>
    </w:p>
    <w:p w14:paraId="20583A3E" w14:textId="77777777" w:rsidR="0091124D" w:rsidRDefault="0091124D" w:rsidP="00410A29">
      <w:pPr>
        <w:pStyle w:val="Default"/>
        <w:jc w:val="both"/>
      </w:pPr>
    </w:p>
    <w:p w14:paraId="1AC40D2A" w14:textId="32606D35" w:rsidR="00982088" w:rsidRDefault="0091124D" w:rsidP="00982088">
      <w:pPr>
        <w:pStyle w:val="Default"/>
        <w:ind w:firstLine="567"/>
        <w:jc w:val="both"/>
      </w:pPr>
      <w:r w:rsidRPr="0091124D">
        <w:rPr>
          <w:b/>
        </w:rPr>
        <w:t xml:space="preserve">Tuberkulino mėginių atlikimo vaikams prieš pradedant lankyti mokyklą (6 ar 7 metų amžiaus) apimtys </w:t>
      </w:r>
      <w:r w:rsidR="00A650A9">
        <w:rPr>
          <w:b/>
        </w:rPr>
        <w:t>Pagėgių</w:t>
      </w:r>
      <w:r w:rsidRPr="0091124D">
        <w:rPr>
          <w:b/>
        </w:rPr>
        <w:t xml:space="preserve"> sav</w:t>
      </w:r>
      <w:r w:rsidR="00EA5B4C">
        <w:rPr>
          <w:b/>
        </w:rPr>
        <w:t>ivaldybėje</w:t>
      </w:r>
    </w:p>
    <w:p w14:paraId="1015D288" w14:textId="77777777" w:rsidR="00982088" w:rsidRDefault="00982088" w:rsidP="00982088">
      <w:pPr>
        <w:pStyle w:val="Default"/>
        <w:ind w:firstLine="567"/>
        <w:jc w:val="both"/>
      </w:pPr>
    </w:p>
    <w:p w14:paraId="7CC33171" w14:textId="04DB1E38" w:rsidR="001E569A" w:rsidRDefault="001A75DB" w:rsidP="00982088">
      <w:pPr>
        <w:pStyle w:val="Default"/>
        <w:ind w:firstLine="567"/>
        <w:jc w:val="both"/>
      </w:pPr>
      <w:r>
        <w:t>Nacionalinio visuomenės sveikatos centro</w:t>
      </w:r>
      <w:r w:rsidR="001E3810">
        <w:t xml:space="preserve"> prie Sveikatos apsaugos ministerijos</w:t>
      </w:r>
      <w:r>
        <w:t xml:space="preserve"> Tauragės departamento</w:t>
      </w:r>
      <w:r w:rsidR="00704B33">
        <w:t xml:space="preserve"> (</w:t>
      </w:r>
      <w:r w:rsidR="001E3810">
        <w:t xml:space="preserve">toliau NVSC Tauragės departamentas) </w:t>
      </w:r>
      <w:r>
        <w:t>duomenimis, 202</w:t>
      </w:r>
      <w:r w:rsidR="00A62B7F">
        <w:t>3</w:t>
      </w:r>
      <w:r>
        <w:t xml:space="preserve"> m. TM reikėjo atlikti </w:t>
      </w:r>
      <w:r w:rsidR="00A650A9">
        <w:t>7</w:t>
      </w:r>
      <w:r w:rsidR="00A62B7F">
        <w:t>2</w:t>
      </w:r>
      <w:r>
        <w:t xml:space="preserve"> vaik</w:t>
      </w:r>
      <w:r w:rsidR="00A650A9">
        <w:t>ams</w:t>
      </w:r>
      <w:r>
        <w:t xml:space="preserve"> prieš pradedant lankyti mokyklą (6 ar 7 metų amžiaus)</w:t>
      </w:r>
      <w:r w:rsidR="001E569A">
        <w:t>, 202</w:t>
      </w:r>
      <w:r w:rsidR="00A62B7F">
        <w:t>4</w:t>
      </w:r>
      <w:r w:rsidR="001E569A">
        <w:t xml:space="preserve"> metais tokių vaikų buvo </w:t>
      </w:r>
      <w:r w:rsidR="00A62B7F">
        <w:t>63</w:t>
      </w:r>
      <w:r w:rsidR="001E569A">
        <w:t>.</w:t>
      </w:r>
    </w:p>
    <w:p w14:paraId="71A712C0" w14:textId="77777777" w:rsidR="0091124D" w:rsidRDefault="0091124D" w:rsidP="0091124D">
      <w:pPr>
        <w:pStyle w:val="Default"/>
        <w:ind w:firstLine="567"/>
        <w:jc w:val="both"/>
      </w:pPr>
      <w:r w:rsidRPr="0091124D">
        <w:t>Pasaulio sveikatos organizacijos teigimu, maždaug ketvirtadalis pasaulio gyventojų yra užsikrėtę tuberkuliozės bakterijomis. Nustatyta, kad tik 5–10 proc. asmenų, užsikrėtusių tuberkuliozės bakterijomis, per gyvenimą suserga tuberkulioze. Esant teigiamiems tuberkulino mėginio rezultatams, reikalinga vaikų pulmonologo konsultacija, kuris, atlikęs bei įvertinęs papildomus tyrimus, padės atsakyti, ar vaikas serga tuberkulioze.</w:t>
      </w:r>
    </w:p>
    <w:p w14:paraId="2DB6CCA9" w14:textId="202868EB" w:rsidR="00982088" w:rsidRPr="00D87F83" w:rsidRDefault="001E569A" w:rsidP="00982088">
      <w:pPr>
        <w:pStyle w:val="Default"/>
        <w:ind w:firstLine="567"/>
        <w:jc w:val="both"/>
        <w:rPr>
          <w:color w:val="auto"/>
        </w:rPr>
      </w:pPr>
      <w:r>
        <w:t>TM 202</w:t>
      </w:r>
      <w:r w:rsidR="00A62B7F">
        <w:t>3</w:t>
      </w:r>
      <w:r>
        <w:t xml:space="preserve"> m. </w:t>
      </w:r>
      <w:r w:rsidR="00A650A9">
        <w:t>Pagėgių savivaldybėje</w:t>
      </w:r>
      <w:r>
        <w:t xml:space="preserve"> TM atliktas </w:t>
      </w:r>
      <w:r w:rsidR="00A650A9">
        <w:t>40</w:t>
      </w:r>
      <w:r>
        <w:t xml:space="preserve"> vaikų, t. y.</w:t>
      </w:r>
      <w:r w:rsidR="001C3482">
        <w:t>(</w:t>
      </w:r>
      <w:r>
        <w:t xml:space="preserve"> </w:t>
      </w:r>
      <w:r w:rsidR="00A650A9">
        <w:t>55,6</w:t>
      </w:r>
      <w:r>
        <w:t xml:space="preserve"> proc.</w:t>
      </w:r>
      <w:r w:rsidR="001C3482">
        <w:t>)</w:t>
      </w:r>
      <w:r>
        <w:t xml:space="preserve"> visų vaikų. </w:t>
      </w:r>
      <w:r w:rsidR="00A650A9">
        <w:t>Teigiamo TM rezultato nenustatyta.</w:t>
      </w:r>
      <w:r w:rsidR="00A62B7F">
        <w:t xml:space="preserve"> 2024 m. TM atliktas 8 vaikams, t.</w:t>
      </w:r>
      <w:r w:rsidR="00035694">
        <w:t xml:space="preserve"> </w:t>
      </w:r>
      <w:r w:rsidR="0045111B">
        <w:t>y</w:t>
      </w:r>
      <w:r w:rsidR="00A62B7F">
        <w:t xml:space="preserve">. </w:t>
      </w:r>
      <w:r w:rsidR="001C3482">
        <w:t>(</w:t>
      </w:r>
      <w:r w:rsidR="00A62B7F">
        <w:t>12,70 proc.</w:t>
      </w:r>
      <w:r w:rsidR="001C3482">
        <w:t>)</w:t>
      </w:r>
      <w:r w:rsidR="00A62B7F">
        <w:t xml:space="preserve"> visų vaikų.</w:t>
      </w:r>
      <w:r w:rsidR="00035694">
        <w:t xml:space="preserve"> </w:t>
      </w:r>
      <w:r w:rsidR="00035694" w:rsidRPr="00D87F83">
        <w:rPr>
          <w:color w:val="auto"/>
        </w:rPr>
        <w:t xml:space="preserve">Patikrinta </w:t>
      </w:r>
      <w:r w:rsidR="00516C4D">
        <w:rPr>
          <w:color w:val="auto"/>
        </w:rPr>
        <w:t>(</w:t>
      </w:r>
      <w:r w:rsidR="00035694" w:rsidRPr="00D87F83">
        <w:rPr>
          <w:color w:val="auto"/>
        </w:rPr>
        <w:t>42,9 proc.</w:t>
      </w:r>
      <w:r w:rsidR="00516C4D">
        <w:rPr>
          <w:color w:val="auto"/>
        </w:rPr>
        <w:t>)</w:t>
      </w:r>
      <w:r w:rsidR="00035694" w:rsidRPr="00D87F83">
        <w:rPr>
          <w:color w:val="auto"/>
        </w:rPr>
        <w:t xml:space="preserve"> mažiau vaikų nei 2023 m.</w:t>
      </w:r>
    </w:p>
    <w:p w14:paraId="22786519" w14:textId="77777777" w:rsidR="00410A29" w:rsidRDefault="00410A29" w:rsidP="00982088">
      <w:pPr>
        <w:pStyle w:val="Default"/>
        <w:ind w:firstLine="567"/>
        <w:jc w:val="both"/>
      </w:pPr>
    </w:p>
    <w:p w14:paraId="27FB2FA4" w14:textId="06A6F1AA" w:rsidR="001E569A" w:rsidRPr="00035694" w:rsidRDefault="00410A29" w:rsidP="00410A29">
      <w:pPr>
        <w:rPr>
          <w:color w:val="FF0000"/>
          <w:sz w:val="20"/>
        </w:rPr>
      </w:pPr>
      <w:r>
        <w:rPr>
          <w:sz w:val="20"/>
        </w:rPr>
        <w:t>1 lentelė. Tuberkulino mėginių atlikimo apimtys vaikams prieš pradedant lankyti mokyklą 202</w:t>
      </w:r>
      <w:r w:rsidR="00FC7DCF">
        <w:rPr>
          <w:sz w:val="20"/>
        </w:rPr>
        <w:t>3</w:t>
      </w:r>
      <w:r>
        <w:rPr>
          <w:sz w:val="20"/>
        </w:rPr>
        <w:t>-202</w:t>
      </w:r>
      <w:r w:rsidR="00FC7DCF">
        <w:rPr>
          <w:sz w:val="20"/>
        </w:rPr>
        <w:t>4</w:t>
      </w:r>
      <w:r>
        <w:rPr>
          <w:sz w:val="20"/>
        </w:rPr>
        <w:t xml:space="preserve"> m.</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993"/>
        <w:gridCol w:w="1134"/>
        <w:gridCol w:w="1134"/>
        <w:gridCol w:w="1134"/>
        <w:gridCol w:w="1275"/>
        <w:gridCol w:w="1418"/>
        <w:gridCol w:w="1417"/>
      </w:tblGrid>
      <w:tr w:rsidR="002B15FD" w:rsidRPr="00F4014D" w14:paraId="1F744409" w14:textId="77777777" w:rsidTr="002B15FD">
        <w:trPr>
          <w:trHeight w:val="304"/>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59D6352E" w14:textId="79075688" w:rsidR="002B15FD" w:rsidRPr="00F4014D" w:rsidRDefault="002B15FD" w:rsidP="001E569A">
            <w:pPr>
              <w:jc w:val="center"/>
            </w:pPr>
            <w:r>
              <w:t>Metai</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9C316A0" w14:textId="77777777" w:rsidR="002B15FD" w:rsidRPr="001E569A" w:rsidRDefault="002B15FD" w:rsidP="001E569A">
            <w:pPr>
              <w:ind w:firstLine="34"/>
              <w:jc w:val="center"/>
              <w:rPr>
                <w:sz w:val="20"/>
              </w:rPr>
            </w:pPr>
            <w:r w:rsidRPr="001E569A">
              <w:rPr>
                <w:sz w:val="20"/>
              </w:rPr>
              <w:t>Vaikų, kuriems reikia atlikti tuberkulino mėginį, skaičius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C47C00F" w14:textId="77777777" w:rsidR="002B15FD" w:rsidRPr="001E569A" w:rsidRDefault="002B15FD" w:rsidP="001E569A">
            <w:pPr>
              <w:ind w:firstLine="34"/>
              <w:jc w:val="center"/>
              <w:rPr>
                <w:sz w:val="20"/>
              </w:rPr>
            </w:pPr>
            <w:r w:rsidRPr="001E569A">
              <w:rPr>
                <w:sz w:val="20"/>
              </w:rPr>
              <w:t>Vaikų, kuriems atliktas tuberkulino mėginys, skaičius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79FC151" w14:textId="77777777" w:rsidR="002B15FD" w:rsidRPr="001E569A" w:rsidRDefault="002B15FD" w:rsidP="001E569A">
            <w:pPr>
              <w:ind w:firstLine="34"/>
              <w:jc w:val="center"/>
              <w:rPr>
                <w:sz w:val="20"/>
              </w:rPr>
            </w:pPr>
            <w:r w:rsidRPr="001E569A">
              <w:rPr>
                <w:sz w:val="20"/>
              </w:rPr>
              <w:t>Vaikų, kuriems nustatytas teigiamas tuberkulino mėginys, skaičius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6C7E6F1" w14:textId="77777777" w:rsidR="002B15FD" w:rsidRPr="001E569A" w:rsidRDefault="002B15FD" w:rsidP="001E569A">
            <w:pPr>
              <w:ind w:firstLine="34"/>
              <w:jc w:val="center"/>
              <w:rPr>
                <w:sz w:val="20"/>
              </w:rPr>
            </w:pPr>
            <w:r w:rsidRPr="001E569A">
              <w:rPr>
                <w:sz w:val="20"/>
              </w:rPr>
              <w:t>Vaikų, kurie nusiųsti konsultuotis pas specialistą, skaičius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DF36CF7" w14:textId="0BAE815D" w:rsidR="002B15FD" w:rsidRPr="001E569A" w:rsidRDefault="002B15FD" w:rsidP="001E569A">
            <w:pPr>
              <w:ind w:firstLine="34"/>
              <w:jc w:val="center"/>
              <w:rPr>
                <w:sz w:val="20"/>
              </w:rPr>
            </w:pPr>
            <w:r w:rsidRPr="001E569A">
              <w:rPr>
                <w:sz w:val="20"/>
              </w:rPr>
              <w:t>Vaikų, kuriems diagnozuota tuberkuliozė</w:t>
            </w:r>
            <w:r>
              <w:rPr>
                <w:sz w:val="20"/>
              </w:rPr>
              <w:t xml:space="preserve"> (A15-19 pagal TLK-10 AM), skaičius</w:t>
            </w:r>
            <w:r w:rsidRPr="001E569A">
              <w:rPr>
                <w:sz w:val="20"/>
              </w:rPr>
              <w:t xml:space="preserve"> </w:t>
            </w:r>
          </w:p>
        </w:tc>
        <w:tc>
          <w:tcPr>
            <w:tcW w:w="1418" w:type="dxa"/>
            <w:tcBorders>
              <w:top w:val="single" w:sz="4" w:space="0" w:color="auto"/>
              <w:left w:val="single" w:sz="4" w:space="0" w:color="auto"/>
              <w:bottom w:val="single" w:sz="4" w:space="0" w:color="auto"/>
              <w:right w:val="single" w:sz="4" w:space="0" w:color="auto"/>
            </w:tcBorders>
          </w:tcPr>
          <w:p w14:paraId="1328E21E" w14:textId="7CE42728" w:rsidR="002B15FD" w:rsidRDefault="002B15FD" w:rsidP="001E569A">
            <w:pPr>
              <w:ind w:firstLine="34"/>
              <w:jc w:val="center"/>
              <w:rPr>
                <w:sz w:val="20"/>
              </w:rPr>
            </w:pPr>
            <w:r>
              <w:rPr>
                <w:sz w:val="20"/>
              </w:rPr>
              <w:t>Vaikų, kuriems diagnozuota tuberkuliozė (A15-19 pagal TLK-10-AM) skaičius</w:t>
            </w:r>
          </w:p>
        </w:tc>
        <w:tc>
          <w:tcPr>
            <w:tcW w:w="1417" w:type="dxa"/>
            <w:tcBorders>
              <w:top w:val="single" w:sz="4" w:space="0" w:color="auto"/>
              <w:left w:val="single" w:sz="4" w:space="0" w:color="auto"/>
              <w:bottom w:val="single" w:sz="4" w:space="0" w:color="auto"/>
              <w:right w:val="single" w:sz="4" w:space="0" w:color="auto"/>
            </w:tcBorders>
          </w:tcPr>
          <w:p w14:paraId="38D5B201" w14:textId="6EB7FCA3" w:rsidR="002B15FD" w:rsidRPr="001E569A" w:rsidRDefault="002B15FD" w:rsidP="001E569A">
            <w:pPr>
              <w:ind w:firstLine="34"/>
              <w:jc w:val="center"/>
              <w:rPr>
                <w:sz w:val="20"/>
              </w:rPr>
            </w:pPr>
            <w:r>
              <w:rPr>
                <w:sz w:val="20"/>
              </w:rPr>
              <w:t>Vaikų, kuriems diagnozuota atviros formos tuberkuliozė (pagal TLK-10AM A15.0-15.2, 15.5), skaičius</w:t>
            </w:r>
          </w:p>
        </w:tc>
      </w:tr>
      <w:tr w:rsidR="002B15FD" w:rsidRPr="00F4014D" w14:paraId="046BE50F" w14:textId="77777777" w:rsidTr="002B15FD">
        <w:trPr>
          <w:trHeight w:val="66"/>
        </w:trPr>
        <w:tc>
          <w:tcPr>
            <w:tcW w:w="1134" w:type="dxa"/>
            <w:tcBorders>
              <w:top w:val="single" w:sz="4" w:space="0" w:color="auto"/>
              <w:bottom w:val="single" w:sz="4" w:space="0" w:color="auto"/>
            </w:tcBorders>
            <w:shd w:val="clear" w:color="auto" w:fill="auto"/>
            <w:vAlign w:val="center"/>
          </w:tcPr>
          <w:p w14:paraId="4A62D473" w14:textId="43D9FC78" w:rsidR="002B15FD" w:rsidRPr="00F4014D" w:rsidRDefault="002B15FD" w:rsidP="001E569A">
            <w:r>
              <w:rPr>
                <w:color w:val="000000"/>
              </w:rPr>
              <w:t>2023 m.</w:t>
            </w:r>
          </w:p>
        </w:tc>
        <w:tc>
          <w:tcPr>
            <w:tcW w:w="993" w:type="dxa"/>
            <w:tcBorders>
              <w:top w:val="single" w:sz="4" w:space="0" w:color="auto"/>
              <w:bottom w:val="single" w:sz="4" w:space="0" w:color="auto"/>
            </w:tcBorders>
            <w:shd w:val="clear" w:color="auto" w:fill="auto"/>
          </w:tcPr>
          <w:p w14:paraId="4C7D2F0C" w14:textId="29DCFB23" w:rsidR="002B15FD" w:rsidRPr="00F4014D" w:rsidRDefault="002B15FD" w:rsidP="001E569A">
            <w:pPr>
              <w:ind w:firstLine="34"/>
              <w:jc w:val="center"/>
            </w:pPr>
            <w:r>
              <w:t>72</w:t>
            </w:r>
          </w:p>
        </w:tc>
        <w:tc>
          <w:tcPr>
            <w:tcW w:w="1134" w:type="dxa"/>
            <w:tcBorders>
              <w:top w:val="single" w:sz="4" w:space="0" w:color="auto"/>
              <w:bottom w:val="single" w:sz="4" w:space="0" w:color="auto"/>
            </w:tcBorders>
            <w:shd w:val="clear" w:color="auto" w:fill="auto"/>
          </w:tcPr>
          <w:p w14:paraId="7982AF14" w14:textId="1D9B45C2" w:rsidR="002B15FD" w:rsidRPr="00F4014D" w:rsidRDefault="002B15FD" w:rsidP="001E569A">
            <w:pPr>
              <w:ind w:firstLine="34"/>
              <w:jc w:val="center"/>
            </w:pPr>
            <w:r>
              <w:t>40</w:t>
            </w:r>
          </w:p>
        </w:tc>
        <w:tc>
          <w:tcPr>
            <w:tcW w:w="1134" w:type="dxa"/>
            <w:tcBorders>
              <w:top w:val="single" w:sz="4" w:space="0" w:color="auto"/>
              <w:bottom w:val="single" w:sz="4" w:space="0" w:color="auto"/>
            </w:tcBorders>
            <w:shd w:val="clear" w:color="auto" w:fill="auto"/>
          </w:tcPr>
          <w:p w14:paraId="25839CA9" w14:textId="56417DBF" w:rsidR="002B15FD" w:rsidRPr="00F4014D" w:rsidRDefault="002B15FD" w:rsidP="001E569A">
            <w:pPr>
              <w:ind w:firstLine="34"/>
              <w:jc w:val="center"/>
            </w:pPr>
            <w:r>
              <w:t>-</w:t>
            </w:r>
          </w:p>
        </w:tc>
        <w:tc>
          <w:tcPr>
            <w:tcW w:w="1134" w:type="dxa"/>
            <w:tcBorders>
              <w:top w:val="single" w:sz="4" w:space="0" w:color="auto"/>
              <w:bottom w:val="single" w:sz="4" w:space="0" w:color="auto"/>
            </w:tcBorders>
            <w:shd w:val="clear" w:color="auto" w:fill="auto"/>
          </w:tcPr>
          <w:p w14:paraId="451DC5C1" w14:textId="04E73AEB" w:rsidR="002B15FD" w:rsidRPr="00F4014D" w:rsidRDefault="002B15FD" w:rsidP="001E569A">
            <w:pPr>
              <w:ind w:firstLine="34"/>
              <w:jc w:val="center"/>
            </w:pPr>
            <w:r>
              <w:t>-</w:t>
            </w:r>
          </w:p>
        </w:tc>
        <w:tc>
          <w:tcPr>
            <w:tcW w:w="1275" w:type="dxa"/>
            <w:tcBorders>
              <w:top w:val="single" w:sz="4" w:space="0" w:color="auto"/>
              <w:bottom w:val="single" w:sz="4" w:space="0" w:color="auto"/>
            </w:tcBorders>
            <w:shd w:val="clear" w:color="auto" w:fill="auto"/>
          </w:tcPr>
          <w:p w14:paraId="22384618" w14:textId="77777777" w:rsidR="002B15FD" w:rsidRPr="00F4014D" w:rsidRDefault="002B15FD" w:rsidP="001E569A">
            <w:pPr>
              <w:ind w:firstLine="34"/>
              <w:jc w:val="center"/>
            </w:pPr>
            <w:r>
              <w:t>-</w:t>
            </w:r>
          </w:p>
        </w:tc>
        <w:tc>
          <w:tcPr>
            <w:tcW w:w="1418" w:type="dxa"/>
            <w:tcBorders>
              <w:top w:val="single" w:sz="4" w:space="0" w:color="auto"/>
              <w:bottom w:val="single" w:sz="4" w:space="0" w:color="auto"/>
            </w:tcBorders>
          </w:tcPr>
          <w:p w14:paraId="55F06E17" w14:textId="0024D9D9" w:rsidR="002B15FD" w:rsidRDefault="002B15FD" w:rsidP="001E569A">
            <w:pPr>
              <w:ind w:firstLine="34"/>
              <w:jc w:val="center"/>
            </w:pPr>
            <w:r>
              <w:t>-</w:t>
            </w:r>
          </w:p>
        </w:tc>
        <w:tc>
          <w:tcPr>
            <w:tcW w:w="1417" w:type="dxa"/>
            <w:tcBorders>
              <w:top w:val="single" w:sz="4" w:space="0" w:color="auto"/>
              <w:bottom w:val="single" w:sz="4" w:space="0" w:color="auto"/>
            </w:tcBorders>
          </w:tcPr>
          <w:p w14:paraId="100312ED" w14:textId="673335CE" w:rsidR="002B15FD" w:rsidRDefault="002B15FD" w:rsidP="001E569A">
            <w:pPr>
              <w:ind w:firstLine="34"/>
              <w:jc w:val="center"/>
            </w:pPr>
            <w:r>
              <w:t>-</w:t>
            </w:r>
          </w:p>
        </w:tc>
      </w:tr>
      <w:tr w:rsidR="002B15FD" w:rsidRPr="00F4014D" w14:paraId="2EF0FA40" w14:textId="77777777" w:rsidTr="002B15FD">
        <w:trPr>
          <w:trHeight w:val="66"/>
        </w:trPr>
        <w:tc>
          <w:tcPr>
            <w:tcW w:w="1134" w:type="dxa"/>
            <w:tcBorders>
              <w:top w:val="single" w:sz="4" w:space="0" w:color="auto"/>
            </w:tcBorders>
            <w:shd w:val="clear" w:color="auto" w:fill="auto"/>
            <w:vAlign w:val="center"/>
          </w:tcPr>
          <w:p w14:paraId="217076BB" w14:textId="4061452C" w:rsidR="002B15FD" w:rsidRDefault="002B15FD" w:rsidP="001E569A">
            <w:pPr>
              <w:rPr>
                <w:color w:val="000000"/>
              </w:rPr>
            </w:pPr>
            <w:r>
              <w:rPr>
                <w:color w:val="000000"/>
              </w:rPr>
              <w:t xml:space="preserve">2024 m. </w:t>
            </w:r>
          </w:p>
        </w:tc>
        <w:tc>
          <w:tcPr>
            <w:tcW w:w="993" w:type="dxa"/>
            <w:tcBorders>
              <w:top w:val="single" w:sz="4" w:space="0" w:color="auto"/>
            </w:tcBorders>
            <w:shd w:val="clear" w:color="auto" w:fill="auto"/>
          </w:tcPr>
          <w:p w14:paraId="7287ABC9" w14:textId="6E043D60" w:rsidR="002B15FD" w:rsidRDefault="002B15FD" w:rsidP="001E569A">
            <w:pPr>
              <w:ind w:firstLine="34"/>
              <w:jc w:val="center"/>
            </w:pPr>
            <w:r>
              <w:t>63</w:t>
            </w:r>
          </w:p>
        </w:tc>
        <w:tc>
          <w:tcPr>
            <w:tcW w:w="1134" w:type="dxa"/>
            <w:tcBorders>
              <w:top w:val="single" w:sz="4" w:space="0" w:color="auto"/>
            </w:tcBorders>
            <w:shd w:val="clear" w:color="auto" w:fill="auto"/>
          </w:tcPr>
          <w:p w14:paraId="59D645A3" w14:textId="65FD4F11" w:rsidR="002B15FD" w:rsidRDefault="002B15FD" w:rsidP="001E569A">
            <w:pPr>
              <w:ind w:firstLine="34"/>
              <w:jc w:val="center"/>
            </w:pPr>
            <w:r>
              <w:t>8</w:t>
            </w:r>
          </w:p>
        </w:tc>
        <w:tc>
          <w:tcPr>
            <w:tcW w:w="1134" w:type="dxa"/>
            <w:tcBorders>
              <w:top w:val="single" w:sz="4" w:space="0" w:color="auto"/>
            </w:tcBorders>
            <w:shd w:val="clear" w:color="auto" w:fill="auto"/>
          </w:tcPr>
          <w:p w14:paraId="0C3A75BB" w14:textId="345D376B" w:rsidR="002B15FD" w:rsidRDefault="002B15FD" w:rsidP="001E569A">
            <w:pPr>
              <w:ind w:firstLine="34"/>
              <w:jc w:val="center"/>
            </w:pPr>
            <w:r>
              <w:t>-</w:t>
            </w:r>
          </w:p>
        </w:tc>
        <w:tc>
          <w:tcPr>
            <w:tcW w:w="1134" w:type="dxa"/>
            <w:tcBorders>
              <w:top w:val="single" w:sz="4" w:space="0" w:color="auto"/>
            </w:tcBorders>
            <w:shd w:val="clear" w:color="auto" w:fill="auto"/>
          </w:tcPr>
          <w:p w14:paraId="39C32F8C" w14:textId="3234AC5F" w:rsidR="002B15FD" w:rsidRDefault="002B15FD" w:rsidP="001E569A">
            <w:pPr>
              <w:ind w:firstLine="34"/>
              <w:jc w:val="center"/>
            </w:pPr>
            <w:r>
              <w:t>-</w:t>
            </w:r>
          </w:p>
        </w:tc>
        <w:tc>
          <w:tcPr>
            <w:tcW w:w="1275" w:type="dxa"/>
            <w:tcBorders>
              <w:top w:val="single" w:sz="4" w:space="0" w:color="auto"/>
            </w:tcBorders>
            <w:shd w:val="clear" w:color="auto" w:fill="auto"/>
          </w:tcPr>
          <w:p w14:paraId="1003D292" w14:textId="1CA60BB2" w:rsidR="002B15FD" w:rsidRDefault="002B15FD" w:rsidP="001E569A">
            <w:pPr>
              <w:ind w:firstLine="34"/>
              <w:jc w:val="center"/>
            </w:pPr>
            <w:r>
              <w:t>-</w:t>
            </w:r>
          </w:p>
        </w:tc>
        <w:tc>
          <w:tcPr>
            <w:tcW w:w="1418" w:type="dxa"/>
            <w:tcBorders>
              <w:top w:val="single" w:sz="4" w:space="0" w:color="auto"/>
            </w:tcBorders>
          </w:tcPr>
          <w:p w14:paraId="67F6AD53" w14:textId="20C60179" w:rsidR="002B15FD" w:rsidRDefault="002B15FD" w:rsidP="001E569A">
            <w:pPr>
              <w:ind w:firstLine="34"/>
              <w:jc w:val="center"/>
            </w:pPr>
            <w:r>
              <w:t>-</w:t>
            </w:r>
          </w:p>
        </w:tc>
        <w:tc>
          <w:tcPr>
            <w:tcW w:w="1417" w:type="dxa"/>
            <w:tcBorders>
              <w:top w:val="single" w:sz="4" w:space="0" w:color="auto"/>
            </w:tcBorders>
          </w:tcPr>
          <w:p w14:paraId="6A5B60DD" w14:textId="32A40690" w:rsidR="002B15FD" w:rsidRDefault="002B15FD" w:rsidP="001E569A">
            <w:pPr>
              <w:ind w:firstLine="34"/>
              <w:jc w:val="center"/>
            </w:pPr>
            <w:r>
              <w:t>-</w:t>
            </w:r>
          </w:p>
        </w:tc>
      </w:tr>
    </w:tbl>
    <w:p w14:paraId="46BAE65B" w14:textId="77777777" w:rsidR="00982088" w:rsidRDefault="00982088" w:rsidP="00982088">
      <w:pPr>
        <w:pStyle w:val="Default"/>
        <w:ind w:firstLine="567"/>
        <w:jc w:val="both"/>
      </w:pPr>
    </w:p>
    <w:p w14:paraId="13AD39CC" w14:textId="77777777" w:rsidR="00564D90" w:rsidRDefault="00564D90" w:rsidP="001A75DB">
      <w:pPr>
        <w:rPr>
          <w:sz w:val="20"/>
        </w:rPr>
      </w:pPr>
    </w:p>
    <w:p w14:paraId="2000E2FB" w14:textId="4BB695BC" w:rsidR="001A75DB" w:rsidRPr="0091124D" w:rsidRDefault="0091124D" w:rsidP="0091124D">
      <w:pPr>
        <w:spacing w:after="160" w:line="256" w:lineRule="auto"/>
        <w:ind w:firstLine="567"/>
        <w:rPr>
          <w:b/>
          <w:bCs/>
          <w:szCs w:val="24"/>
        </w:rPr>
      </w:pPr>
      <w:r w:rsidRPr="0091124D">
        <w:rPr>
          <w:b/>
          <w:bCs/>
          <w:szCs w:val="24"/>
        </w:rPr>
        <w:t xml:space="preserve">Tuberkulino mėginių atlikimo rizikos grupių vaikams apimtys </w:t>
      </w:r>
      <w:r w:rsidR="00A650A9">
        <w:rPr>
          <w:b/>
        </w:rPr>
        <w:t>Pagėgių</w:t>
      </w:r>
      <w:r w:rsidRPr="0091124D">
        <w:rPr>
          <w:b/>
        </w:rPr>
        <w:t xml:space="preserve"> sav</w:t>
      </w:r>
      <w:r w:rsidR="00EA5B4C">
        <w:rPr>
          <w:b/>
        </w:rPr>
        <w:t>ivaldybėje</w:t>
      </w:r>
    </w:p>
    <w:p w14:paraId="57B506FD" w14:textId="380B1091" w:rsidR="00C35B39" w:rsidRPr="00035694" w:rsidRDefault="001A75DB" w:rsidP="001A75DB">
      <w:pPr>
        <w:ind w:firstLine="567"/>
        <w:jc w:val="both"/>
        <w:rPr>
          <w:color w:val="FF0000"/>
          <w:szCs w:val="24"/>
        </w:rPr>
      </w:pPr>
      <w:r>
        <w:rPr>
          <w:szCs w:val="24"/>
        </w:rPr>
        <w:t>202</w:t>
      </w:r>
      <w:r w:rsidR="00996DF2">
        <w:rPr>
          <w:szCs w:val="24"/>
        </w:rPr>
        <w:t>3</w:t>
      </w:r>
      <w:r>
        <w:rPr>
          <w:szCs w:val="24"/>
        </w:rPr>
        <w:t xml:space="preserve"> m. iš viso buvo užregistruoti </w:t>
      </w:r>
      <w:r w:rsidR="00996DF2">
        <w:rPr>
          <w:szCs w:val="24"/>
        </w:rPr>
        <w:t>17</w:t>
      </w:r>
      <w:r>
        <w:rPr>
          <w:szCs w:val="24"/>
        </w:rPr>
        <w:t xml:space="preserve"> vaik</w:t>
      </w:r>
      <w:r w:rsidR="00996DF2">
        <w:rPr>
          <w:szCs w:val="24"/>
        </w:rPr>
        <w:t>ų</w:t>
      </w:r>
      <w:r>
        <w:rPr>
          <w:szCs w:val="24"/>
        </w:rPr>
        <w:t>, kurie priklausė įvairioms rizikos grupėms ir kuriems reikėjo atlikti TM tyrimus.</w:t>
      </w:r>
      <w:r w:rsidR="00C35B39">
        <w:rPr>
          <w:szCs w:val="24"/>
        </w:rPr>
        <w:t xml:space="preserve"> 202</w:t>
      </w:r>
      <w:r w:rsidR="00996DF2">
        <w:rPr>
          <w:szCs w:val="24"/>
        </w:rPr>
        <w:t>4</w:t>
      </w:r>
      <w:r w:rsidR="00C35B39">
        <w:rPr>
          <w:szCs w:val="24"/>
        </w:rPr>
        <w:t xml:space="preserve"> m. tokių vaikų buvo </w:t>
      </w:r>
      <w:r w:rsidR="00E527BA">
        <w:rPr>
          <w:szCs w:val="24"/>
        </w:rPr>
        <w:t>9</w:t>
      </w:r>
      <w:r w:rsidR="00C35B39">
        <w:rPr>
          <w:szCs w:val="24"/>
        </w:rPr>
        <w:t>.</w:t>
      </w:r>
      <w:r w:rsidR="00E527BA">
        <w:rPr>
          <w:szCs w:val="24"/>
        </w:rPr>
        <w:t xml:space="preserve">TM atliktas 7 vaikams. Vaikai, </w:t>
      </w:r>
      <w:r w:rsidR="006A508D">
        <w:rPr>
          <w:szCs w:val="24"/>
        </w:rPr>
        <w:t xml:space="preserve">kurie priklauso rizikos grupei, TM </w:t>
      </w:r>
      <w:r w:rsidR="006F5BFF" w:rsidRPr="006F5BFF">
        <w:rPr>
          <w:szCs w:val="24"/>
        </w:rPr>
        <w:t>turi būti atliekami kasmet, nepriklausomai nuo vaiko amžiaus.</w:t>
      </w:r>
      <w:r w:rsidR="00035694">
        <w:rPr>
          <w:szCs w:val="24"/>
        </w:rPr>
        <w:t xml:space="preserve"> </w:t>
      </w:r>
    </w:p>
    <w:p w14:paraId="5D1068AC" w14:textId="127DB58C" w:rsidR="001A75DB" w:rsidRDefault="001A75DB" w:rsidP="001A75DB">
      <w:pPr>
        <w:ind w:firstLine="567"/>
        <w:jc w:val="both"/>
        <w:rPr>
          <w:szCs w:val="24"/>
        </w:rPr>
      </w:pPr>
      <w:r>
        <w:rPr>
          <w:szCs w:val="24"/>
        </w:rPr>
        <w:t xml:space="preserve"> </w:t>
      </w:r>
    </w:p>
    <w:p w14:paraId="6E0AE37C" w14:textId="1E17DA28" w:rsidR="006A508D" w:rsidRPr="008B48F9" w:rsidRDefault="008B48F9" w:rsidP="001A75DB">
      <w:pPr>
        <w:ind w:firstLine="567"/>
        <w:jc w:val="both"/>
        <w:rPr>
          <w:b/>
        </w:rPr>
      </w:pPr>
      <w:r w:rsidRPr="008B48F9">
        <w:rPr>
          <w:b/>
        </w:rPr>
        <w:lastRenderedPageBreak/>
        <w:t>Vaikai, dažnai sergantys viršutinių kvėpavimo takų ligomis</w:t>
      </w:r>
    </w:p>
    <w:p w14:paraId="5DA00B07" w14:textId="600332DF" w:rsidR="006F5BFF" w:rsidRDefault="002F76C0" w:rsidP="001A75DB">
      <w:pPr>
        <w:ind w:firstLine="567"/>
        <w:jc w:val="both"/>
        <w:rPr>
          <w:szCs w:val="24"/>
        </w:rPr>
      </w:pPr>
      <w:r>
        <w:rPr>
          <w:szCs w:val="24"/>
        </w:rPr>
        <w:t xml:space="preserve"> </w:t>
      </w:r>
      <w:r w:rsidR="006F5BFF">
        <w:rPr>
          <w:szCs w:val="24"/>
        </w:rPr>
        <w:t xml:space="preserve">2023 m. šiai rizikos grupei priklausė </w:t>
      </w:r>
      <w:r>
        <w:rPr>
          <w:szCs w:val="24"/>
        </w:rPr>
        <w:t>5</w:t>
      </w:r>
      <w:r w:rsidR="006F5BFF">
        <w:rPr>
          <w:szCs w:val="24"/>
        </w:rPr>
        <w:t xml:space="preserve"> vaik</w:t>
      </w:r>
      <w:r>
        <w:rPr>
          <w:szCs w:val="24"/>
        </w:rPr>
        <w:t>ai</w:t>
      </w:r>
      <w:r w:rsidR="006F5BFF">
        <w:rPr>
          <w:szCs w:val="24"/>
        </w:rPr>
        <w:t xml:space="preserve">, TM atliktas </w:t>
      </w:r>
      <w:r>
        <w:rPr>
          <w:szCs w:val="24"/>
        </w:rPr>
        <w:t>4</w:t>
      </w:r>
      <w:r w:rsidR="006F5BFF">
        <w:rPr>
          <w:szCs w:val="24"/>
        </w:rPr>
        <w:t xml:space="preserve"> vaik</w:t>
      </w:r>
      <w:r>
        <w:rPr>
          <w:szCs w:val="24"/>
        </w:rPr>
        <w:t>ams</w:t>
      </w:r>
      <w:r w:rsidR="006F5BFF">
        <w:rPr>
          <w:szCs w:val="24"/>
        </w:rPr>
        <w:t xml:space="preserve"> (</w:t>
      </w:r>
      <w:r>
        <w:rPr>
          <w:szCs w:val="24"/>
        </w:rPr>
        <w:t>80</w:t>
      </w:r>
      <w:r w:rsidR="006F5BFF">
        <w:rPr>
          <w:szCs w:val="24"/>
        </w:rPr>
        <w:t xml:space="preserve"> proc.). </w:t>
      </w:r>
      <w:r w:rsidR="005F56C6">
        <w:rPr>
          <w:szCs w:val="24"/>
        </w:rPr>
        <w:t>2024 m. šiai rizikos grupei priklausė 4 vaikai, TM atliktas 2 vaikams (50 proc.).</w:t>
      </w:r>
    </w:p>
    <w:p w14:paraId="7D278A14" w14:textId="1EA45C37" w:rsidR="006F5BFF" w:rsidRPr="008B48F9" w:rsidRDefault="008B48F9" w:rsidP="001A75DB">
      <w:pPr>
        <w:ind w:firstLine="567"/>
        <w:jc w:val="both"/>
        <w:rPr>
          <w:b/>
          <w:szCs w:val="24"/>
        </w:rPr>
      </w:pPr>
      <w:r w:rsidRPr="008B48F9">
        <w:rPr>
          <w:b/>
          <w:szCs w:val="24"/>
        </w:rPr>
        <w:t>Vaikai, sergantys lėtinėmis ligomis</w:t>
      </w:r>
    </w:p>
    <w:p w14:paraId="42A56142" w14:textId="79F3E018" w:rsidR="006F5BFF" w:rsidRDefault="006F5BFF" w:rsidP="001A75DB">
      <w:pPr>
        <w:ind w:firstLine="567"/>
        <w:jc w:val="both"/>
        <w:rPr>
          <w:szCs w:val="24"/>
        </w:rPr>
      </w:pPr>
      <w:r>
        <w:rPr>
          <w:szCs w:val="24"/>
        </w:rPr>
        <w:t>202</w:t>
      </w:r>
      <w:r w:rsidR="005F56C6">
        <w:rPr>
          <w:szCs w:val="24"/>
        </w:rPr>
        <w:t>3</w:t>
      </w:r>
      <w:r>
        <w:rPr>
          <w:szCs w:val="24"/>
        </w:rPr>
        <w:t xml:space="preserve"> m. šiai  sergančių</w:t>
      </w:r>
      <w:r w:rsidR="002F76C0">
        <w:rPr>
          <w:szCs w:val="24"/>
        </w:rPr>
        <w:t xml:space="preserve"> lėtinėmis ligomis</w:t>
      </w:r>
      <w:r>
        <w:rPr>
          <w:szCs w:val="24"/>
        </w:rPr>
        <w:t xml:space="preserve"> vaikų buvo </w:t>
      </w:r>
      <w:r w:rsidR="002F76C0">
        <w:rPr>
          <w:szCs w:val="24"/>
        </w:rPr>
        <w:t>2, abiem  atliktas</w:t>
      </w:r>
      <w:r w:rsidR="00704B33">
        <w:rPr>
          <w:szCs w:val="24"/>
        </w:rPr>
        <w:t xml:space="preserve"> TM.</w:t>
      </w:r>
      <w:r w:rsidR="00EB23B6">
        <w:rPr>
          <w:szCs w:val="24"/>
        </w:rPr>
        <w:t xml:space="preserve"> 2024 m. sergančių vaikų lėtinėmis ligomis</w:t>
      </w:r>
      <w:r w:rsidR="0045111B">
        <w:rPr>
          <w:szCs w:val="24"/>
        </w:rPr>
        <w:t xml:space="preserve"> registruotas 1 vaikas</w:t>
      </w:r>
      <w:r w:rsidR="00704B33">
        <w:rPr>
          <w:szCs w:val="24"/>
        </w:rPr>
        <w:t>,</w:t>
      </w:r>
      <w:r w:rsidR="0045111B">
        <w:rPr>
          <w:szCs w:val="24"/>
        </w:rPr>
        <w:t xml:space="preserve"> ir jam atliktas TM.</w:t>
      </w:r>
      <w:r w:rsidR="00DD62F5">
        <w:rPr>
          <w:szCs w:val="24"/>
        </w:rPr>
        <w:t xml:space="preserve"> Teigiamos reakcijos nenustatyta.</w:t>
      </w:r>
    </w:p>
    <w:p w14:paraId="6DE33675" w14:textId="1858849A" w:rsidR="009B2F79" w:rsidRPr="008B48F9" w:rsidRDefault="008B48F9" w:rsidP="001A75DB">
      <w:pPr>
        <w:ind w:firstLine="567"/>
        <w:jc w:val="both"/>
        <w:rPr>
          <w:b/>
        </w:rPr>
      </w:pPr>
      <w:r w:rsidRPr="008B48F9">
        <w:rPr>
          <w:b/>
        </w:rPr>
        <w:t>Vaikai iš socialinės rizikos šeimų</w:t>
      </w:r>
    </w:p>
    <w:p w14:paraId="4D20881A" w14:textId="0516EE35" w:rsidR="009B2F79" w:rsidRDefault="009B2F79" w:rsidP="001A75DB">
      <w:pPr>
        <w:ind w:firstLine="567"/>
        <w:jc w:val="both"/>
        <w:rPr>
          <w:szCs w:val="24"/>
        </w:rPr>
      </w:pPr>
      <w:r>
        <w:rPr>
          <w:szCs w:val="24"/>
        </w:rPr>
        <w:t>202</w:t>
      </w:r>
      <w:r w:rsidR="002F76C0">
        <w:rPr>
          <w:szCs w:val="24"/>
        </w:rPr>
        <w:t>3</w:t>
      </w:r>
      <w:r>
        <w:rPr>
          <w:szCs w:val="24"/>
        </w:rPr>
        <w:t xml:space="preserve"> m. vaikų, kurie augo socialinės rizikos šeimose ir kuriems reikėjo atlikti TM buvo </w:t>
      </w:r>
      <w:r w:rsidR="002F76C0">
        <w:rPr>
          <w:szCs w:val="24"/>
        </w:rPr>
        <w:t>3</w:t>
      </w:r>
      <w:r>
        <w:rPr>
          <w:szCs w:val="24"/>
        </w:rPr>
        <w:t xml:space="preserve">, </w:t>
      </w:r>
      <w:r w:rsidR="002F76C0">
        <w:rPr>
          <w:szCs w:val="24"/>
        </w:rPr>
        <w:t>tyrimai a</w:t>
      </w:r>
      <w:r>
        <w:rPr>
          <w:szCs w:val="24"/>
        </w:rPr>
        <w:t xml:space="preserve">tlikti 2 </w:t>
      </w:r>
      <w:r w:rsidR="002F76C0">
        <w:rPr>
          <w:szCs w:val="24"/>
        </w:rPr>
        <w:t>vaikams (67 proc.) TM abiem vaikams teigiamas, tačiau TB nepatvirtinta.</w:t>
      </w:r>
      <w:r>
        <w:rPr>
          <w:szCs w:val="24"/>
        </w:rPr>
        <w:t xml:space="preserve"> </w:t>
      </w:r>
      <w:r w:rsidR="009D2B3D">
        <w:rPr>
          <w:szCs w:val="24"/>
        </w:rPr>
        <w:t>2024 m. šiai rizikos grupei priklausė 4 vaikai</w:t>
      </w:r>
      <w:r w:rsidR="00704B33">
        <w:rPr>
          <w:szCs w:val="24"/>
        </w:rPr>
        <w:t>,</w:t>
      </w:r>
      <w:r w:rsidR="009D2B3D">
        <w:rPr>
          <w:szCs w:val="24"/>
        </w:rPr>
        <w:t xml:space="preserve"> visiems atlik</w:t>
      </w:r>
      <w:r w:rsidR="003D0A59">
        <w:rPr>
          <w:szCs w:val="24"/>
        </w:rPr>
        <w:t>us</w:t>
      </w:r>
      <w:r w:rsidR="009D2B3D">
        <w:rPr>
          <w:szCs w:val="24"/>
        </w:rPr>
        <w:t xml:space="preserve"> TM teigiamų nenustatyta</w:t>
      </w:r>
      <w:r w:rsidR="0045111B">
        <w:rPr>
          <w:szCs w:val="24"/>
        </w:rPr>
        <w:t>.</w:t>
      </w:r>
    </w:p>
    <w:p w14:paraId="57803F4D" w14:textId="3A9404A8" w:rsidR="009B2F79" w:rsidRPr="008B48F9" w:rsidRDefault="009B2F79" w:rsidP="009B2F79">
      <w:pPr>
        <w:ind w:firstLine="567"/>
        <w:jc w:val="both"/>
        <w:rPr>
          <w:b/>
          <w:szCs w:val="24"/>
        </w:rPr>
      </w:pPr>
      <w:r w:rsidRPr="008B48F9">
        <w:rPr>
          <w:b/>
          <w:szCs w:val="24"/>
        </w:rPr>
        <w:t>V</w:t>
      </w:r>
      <w:r w:rsidR="008B48F9" w:rsidRPr="008B48F9">
        <w:rPr>
          <w:b/>
          <w:szCs w:val="24"/>
        </w:rPr>
        <w:t>aikai, gyvenantys sutrikusio vystymosi kūdikių namuose, vaikų globos namuose, internatuose, pensionatuose</w:t>
      </w:r>
    </w:p>
    <w:p w14:paraId="205C6DC0" w14:textId="2BDD1631" w:rsidR="006A508D" w:rsidRDefault="009B2F79" w:rsidP="001A75DB">
      <w:pPr>
        <w:ind w:firstLine="567"/>
        <w:jc w:val="both"/>
        <w:rPr>
          <w:szCs w:val="24"/>
        </w:rPr>
      </w:pPr>
      <w:r w:rsidRPr="009B2F79">
        <w:rPr>
          <w:szCs w:val="24"/>
        </w:rPr>
        <w:t xml:space="preserve"> </w:t>
      </w:r>
      <w:r w:rsidR="002F76C0">
        <w:rPr>
          <w:szCs w:val="24"/>
        </w:rPr>
        <w:t>Pagėgių</w:t>
      </w:r>
      <w:r w:rsidRPr="009B2F79">
        <w:rPr>
          <w:szCs w:val="24"/>
        </w:rPr>
        <w:t xml:space="preserve"> sav</w:t>
      </w:r>
      <w:r w:rsidR="009D2B3D">
        <w:rPr>
          <w:szCs w:val="24"/>
        </w:rPr>
        <w:t>ivaldybėje</w:t>
      </w:r>
      <w:r w:rsidR="003D0A59">
        <w:rPr>
          <w:szCs w:val="24"/>
        </w:rPr>
        <w:t xml:space="preserve"> 2023 m.</w:t>
      </w:r>
      <w:r w:rsidRPr="009B2F79">
        <w:rPr>
          <w:szCs w:val="24"/>
        </w:rPr>
        <w:t xml:space="preserve"> vaik</w:t>
      </w:r>
      <w:r>
        <w:rPr>
          <w:szCs w:val="24"/>
        </w:rPr>
        <w:t>ų, kurie gyvena šiose įstaigose</w:t>
      </w:r>
      <w:r w:rsidR="003D0A59">
        <w:rPr>
          <w:szCs w:val="24"/>
        </w:rPr>
        <w:t>,</w:t>
      </w:r>
      <w:r>
        <w:rPr>
          <w:szCs w:val="24"/>
        </w:rPr>
        <w:t xml:space="preserve"> buvo </w:t>
      </w:r>
      <w:r w:rsidR="002F76C0">
        <w:rPr>
          <w:szCs w:val="24"/>
        </w:rPr>
        <w:t>7</w:t>
      </w:r>
      <w:r>
        <w:rPr>
          <w:szCs w:val="24"/>
        </w:rPr>
        <w:t>. TM</w:t>
      </w:r>
      <w:r w:rsidR="002F76C0">
        <w:rPr>
          <w:szCs w:val="24"/>
        </w:rPr>
        <w:t xml:space="preserve"> a</w:t>
      </w:r>
      <w:r w:rsidR="008B48F9">
        <w:rPr>
          <w:szCs w:val="24"/>
        </w:rPr>
        <w:t>t</w:t>
      </w:r>
      <w:r w:rsidR="002F76C0">
        <w:rPr>
          <w:szCs w:val="24"/>
        </w:rPr>
        <w:t>liktas visiems vaikams (100 proc.), 1 vaikui TM teigi</w:t>
      </w:r>
      <w:r w:rsidR="00EA5B4C">
        <w:rPr>
          <w:szCs w:val="24"/>
        </w:rPr>
        <w:t>a</w:t>
      </w:r>
      <w:r w:rsidR="002F76C0">
        <w:rPr>
          <w:szCs w:val="24"/>
        </w:rPr>
        <w:t>mas, tačiau TB nepatvirtinta.</w:t>
      </w:r>
      <w:r w:rsidR="009D2B3D">
        <w:rPr>
          <w:szCs w:val="24"/>
        </w:rPr>
        <w:t xml:space="preserve"> 2024 m. vaikų, kurie priklausė šiai rizikos grupei</w:t>
      </w:r>
      <w:r w:rsidR="001E3810">
        <w:rPr>
          <w:szCs w:val="24"/>
        </w:rPr>
        <w:t>,</w:t>
      </w:r>
      <w:r w:rsidR="009D2B3D">
        <w:rPr>
          <w:szCs w:val="24"/>
        </w:rPr>
        <w:t xml:space="preserve"> neregistruota.</w:t>
      </w:r>
    </w:p>
    <w:p w14:paraId="377FEBE9" w14:textId="54676A87" w:rsidR="001A75DB" w:rsidRDefault="001A75DB" w:rsidP="001A75DB">
      <w:pPr>
        <w:ind w:firstLine="567"/>
        <w:jc w:val="both"/>
        <w:rPr>
          <w:szCs w:val="24"/>
        </w:rPr>
      </w:pPr>
      <w:r>
        <w:rPr>
          <w:szCs w:val="24"/>
        </w:rPr>
        <w:t xml:space="preserve">Kaip pasiskirsto </w:t>
      </w:r>
      <w:r w:rsidR="00410A29">
        <w:rPr>
          <w:szCs w:val="24"/>
        </w:rPr>
        <w:t>v</w:t>
      </w:r>
      <w:r>
        <w:rPr>
          <w:szCs w:val="24"/>
        </w:rPr>
        <w:t xml:space="preserve">aikų, priklausančių rizikos grupėms, tuberkulino mėginių atlikimo apimtys pagal </w:t>
      </w:r>
      <w:r w:rsidR="009B2F79">
        <w:rPr>
          <w:szCs w:val="24"/>
        </w:rPr>
        <w:t xml:space="preserve">TM atlikimo rezultatus </w:t>
      </w:r>
      <w:r w:rsidR="002F5327">
        <w:rPr>
          <w:szCs w:val="24"/>
        </w:rPr>
        <w:t>Pagėgių</w:t>
      </w:r>
      <w:r>
        <w:rPr>
          <w:szCs w:val="24"/>
        </w:rPr>
        <w:t xml:space="preserve"> sav</w:t>
      </w:r>
      <w:r w:rsidR="00EA5B4C">
        <w:rPr>
          <w:szCs w:val="24"/>
        </w:rPr>
        <w:t>ivaldybės</w:t>
      </w:r>
      <w:r w:rsidR="00410A29">
        <w:rPr>
          <w:szCs w:val="24"/>
        </w:rPr>
        <w:t xml:space="preserve"> asmens sveikatos priežiūros įstaigose, pavaizduota 2 lentelėje.</w:t>
      </w:r>
    </w:p>
    <w:p w14:paraId="418A1699" w14:textId="7BAEFFCE" w:rsidR="001A75DB" w:rsidRPr="00035694" w:rsidRDefault="001A75DB" w:rsidP="001A75DB">
      <w:pPr>
        <w:rPr>
          <w:color w:val="FF0000"/>
          <w:szCs w:val="24"/>
        </w:rPr>
      </w:pPr>
    </w:p>
    <w:p w14:paraId="6991B3F6" w14:textId="1B3B5A59" w:rsidR="001A75DB" w:rsidRDefault="00410A29" w:rsidP="001A75DB">
      <w:pPr>
        <w:rPr>
          <w:sz w:val="20"/>
        </w:rPr>
      </w:pPr>
      <w:r>
        <w:rPr>
          <w:sz w:val="20"/>
        </w:rPr>
        <w:t>2</w:t>
      </w:r>
      <w:r w:rsidR="001A75DB">
        <w:rPr>
          <w:sz w:val="20"/>
        </w:rPr>
        <w:t xml:space="preserve"> lentelė. Vaikų, priklausančių rizikos grupėms, tuberkulino mėginių atlikimo apimtys </w:t>
      </w:r>
      <w:r w:rsidR="000760D0">
        <w:rPr>
          <w:sz w:val="20"/>
        </w:rPr>
        <w:t>202</w:t>
      </w:r>
      <w:r w:rsidR="00D611E1">
        <w:rPr>
          <w:sz w:val="20"/>
        </w:rPr>
        <w:t>3</w:t>
      </w:r>
      <w:r w:rsidR="000760D0">
        <w:rPr>
          <w:sz w:val="20"/>
        </w:rPr>
        <w:t>-</w:t>
      </w:r>
      <w:r w:rsidR="001A75DB">
        <w:rPr>
          <w:sz w:val="20"/>
        </w:rPr>
        <w:t>202</w:t>
      </w:r>
      <w:r w:rsidR="00D611E1">
        <w:rPr>
          <w:sz w:val="20"/>
        </w:rPr>
        <w:t>4</w:t>
      </w:r>
      <w:r w:rsidR="001A75DB">
        <w:rPr>
          <w:sz w:val="20"/>
        </w:rPr>
        <w:t xml:space="preserve"> m</w:t>
      </w:r>
      <w:r w:rsidR="000760D0">
        <w:rPr>
          <w:sz w:val="20"/>
        </w:rPr>
        <w:t xml:space="preserve">. </w:t>
      </w:r>
      <w:r w:rsidR="001A75DB">
        <w:rPr>
          <w:sz w:val="20"/>
        </w:rPr>
        <w:t>pagal asmens sveikatos priežiūros įstaigas.</w:t>
      </w:r>
    </w:p>
    <w:tbl>
      <w:tblPr>
        <w:tblStyle w:val="Lentelstinklelis"/>
        <w:tblW w:w="9633" w:type="dxa"/>
        <w:tblInd w:w="0" w:type="dxa"/>
        <w:tblLook w:val="04A0" w:firstRow="1" w:lastRow="0" w:firstColumn="1" w:lastColumn="0" w:noHBand="0" w:noVBand="1"/>
      </w:tblPr>
      <w:tblGrid>
        <w:gridCol w:w="2135"/>
        <w:gridCol w:w="1064"/>
        <w:gridCol w:w="1240"/>
        <w:gridCol w:w="1155"/>
        <w:gridCol w:w="1064"/>
        <w:gridCol w:w="1397"/>
        <w:gridCol w:w="1578"/>
      </w:tblGrid>
      <w:tr w:rsidR="009B2F79" w14:paraId="2F90300E" w14:textId="7E567C56" w:rsidTr="00410A29">
        <w:trPr>
          <w:trHeight w:val="411"/>
        </w:trPr>
        <w:tc>
          <w:tcPr>
            <w:tcW w:w="2135" w:type="dxa"/>
            <w:vMerge w:val="restart"/>
            <w:tcBorders>
              <w:top w:val="single" w:sz="4" w:space="0" w:color="auto"/>
              <w:left w:val="single" w:sz="4" w:space="0" w:color="auto"/>
              <w:bottom w:val="single" w:sz="4" w:space="0" w:color="auto"/>
              <w:right w:val="single" w:sz="4" w:space="0" w:color="auto"/>
            </w:tcBorders>
            <w:vAlign w:val="center"/>
            <w:hideMark/>
          </w:tcPr>
          <w:p w14:paraId="15B1D00B" w14:textId="49E96C3A" w:rsidR="009B2F79" w:rsidRDefault="009B2F79">
            <w:pPr>
              <w:jc w:val="center"/>
              <w:rPr>
                <w:sz w:val="20"/>
              </w:rPr>
            </w:pPr>
            <w:r>
              <w:rPr>
                <w:sz w:val="20"/>
              </w:rPr>
              <w:t xml:space="preserve"> </w:t>
            </w:r>
            <w:r w:rsidR="002F76C0">
              <w:rPr>
                <w:sz w:val="20"/>
              </w:rPr>
              <w:t>Pagėgių</w:t>
            </w:r>
            <w:r>
              <w:rPr>
                <w:sz w:val="20"/>
              </w:rPr>
              <w:t xml:space="preserve"> sav. ASPĮ</w:t>
            </w:r>
          </w:p>
        </w:tc>
        <w:tc>
          <w:tcPr>
            <w:tcW w:w="1064" w:type="dxa"/>
            <w:vMerge w:val="restart"/>
            <w:tcBorders>
              <w:top w:val="single" w:sz="4" w:space="0" w:color="auto"/>
              <w:left w:val="single" w:sz="4" w:space="0" w:color="auto"/>
              <w:bottom w:val="single" w:sz="4" w:space="0" w:color="auto"/>
              <w:right w:val="single" w:sz="4" w:space="0" w:color="auto"/>
            </w:tcBorders>
            <w:vAlign w:val="center"/>
            <w:hideMark/>
          </w:tcPr>
          <w:p w14:paraId="6186EA25" w14:textId="21A6F460" w:rsidR="009B2F79" w:rsidRDefault="009B2F79">
            <w:pPr>
              <w:pStyle w:val="Default"/>
              <w:rPr>
                <w:sz w:val="20"/>
                <w:szCs w:val="20"/>
              </w:rPr>
            </w:pPr>
            <w:r>
              <w:rPr>
                <w:sz w:val="20"/>
                <w:szCs w:val="20"/>
              </w:rPr>
              <w:t xml:space="preserve">Vaikų, kuriems reikia atlikti TM, skaičius </w:t>
            </w:r>
            <w:r w:rsidR="00410A29" w:rsidRPr="00410A29">
              <w:rPr>
                <w:b/>
                <w:sz w:val="20"/>
                <w:szCs w:val="20"/>
              </w:rPr>
              <w:t>202</w:t>
            </w:r>
            <w:r w:rsidR="00D611E1">
              <w:rPr>
                <w:b/>
                <w:sz w:val="20"/>
                <w:szCs w:val="20"/>
              </w:rPr>
              <w:t>3</w:t>
            </w:r>
            <w:r w:rsidR="00410A29" w:rsidRPr="00410A29">
              <w:rPr>
                <w:b/>
                <w:sz w:val="20"/>
                <w:szCs w:val="20"/>
              </w:rPr>
              <w:t xml:space="preserve"> m.</w:t>
            </w:r>
          </w:p>
        </w:tc>
        <w:tc>
          <w:tcPr>
            <w:tcW w:w="2395" w:type="dxa"/>
            <w:gridSpan w:val="2"/>
            <w:tcBorders>
              <w:top w:val="single" w:sz="4" w:space="0" w:color="auto"/>
              <w:left w:val="single" w:sz="4" w:space="0" w:color="auto"/>
              <w:bottom w:val="single" w:sz="4" w:space="0" w:color="auto"/>
              <w:right w:val="single" w:sz="4" w:space="0" w:color="auto"/>
            </w:tcBorders>
            <w:vAlign w:val="center"/>
            <w:hideMark/>
          </w:tcPr>
          <w:p w14:paraId="0FD17778" w14:textId="2BDAFEC4" w:rsidR="009B2F79" w:rsidRDefault="009B2F79">
            <w:pPr>
              <w:jc w:val="center"/>
              <w:rPr>
                <w:sz w:val="20"/>
              </w:rPr>
            </w:pPr>
            <w:r>
              <w:rPr>
                <w:sz w:val="20"/>
              </w:rPr>
              <w:t>Vaikų, kuriems atliktas TM</w:t>
            </w:r>
            <w:r w:rsidR="00410A29">
              <w:rPr>
                <w:sz w:val="20"/>
              </w:rPr>
              <w:t xml:space="preserve"> </w:t>
            </w:r>
          </w:p>
        </w:tc>
        <w:tc>
          <w:tcPr>
            <w:tcW w:w="1064" w:type="dxa"/>
            <w:vMerge w:val="restart"/>
            <w:tcBorders>
              <w:top w:val="single" w:sz="4" w:space="0" w:color="auto"/>
              <w:left w:val="single" w:sz="4" w:space="0" w:color="auto"/>
              <w:right w:val="single" w:sz="4" w:space="0" w:color="auto"/>
            </w:tcBorders>
          </w:tcPr>
          <w:p w14:paraId="6BABF11B" w14:textId="366E5DD7" w:rsidR="009B2F79" w:rsidRDefault="009B2F79">
            <w:pPr>
              <w:jc w:val="center"/>
              <w:rPr>
                <w:sz w:val="20"/>
              </w:rPr>
            </w:pPr>
            <w:r>
              <w:rPr>
                <w:sz w:val="20"/>
              </w:rPr>
              <w:t>Vaikų, kuriems reikia atlikti TM, skaičius</w:t>
            </w:r>
            <w:r w:rsidR="00410A29">
              <w:rPr>
                <w:sz w:val="20"/>
              </w:rPr>
              <w:t xml:space="preserve"> </w:t>
            </w:r>
            <w:r w:rsidR="00410A29" w:rsidRPr="00410A29">
              <w:rPr>
                <w:b/>
                <w:sz w:val="20"/>
              </w:rPr>
              <w:t>202</w:t>
            </w:r>
            <w:r w:rsidR="00D611E1">
              <w:rPr>
                <w:b/>
                <w:sz w:val="20"/>
              </w:rPr>
              <w:t>4</w:t>
            </w:r>
            <w:r w:rsidR="00410A29" w:rsidRPr="00410A29">
              <w:rPr>
                <w:b/>
                <w:sz w:val="20"/>
              </w:rPr>
              <w:t xml:space="preserve"> m.</w:t>
            </w:r>
          </w:p>
        </w:tc>
        <w:tc>
          <w:tcPr>
            <w:tcW w:w="2975" w:type="dxa"/>
            <w:gridSpan w:val="2"/>
            <w:tcBorders>
              <w:top w:val="single" w:sz="4" w:space="0" w:color="auto"/>
              <w:left w:val="single" w:sz="4" w:space="0" w:color="auto"/>
              <w:bottom w:val="single" w:sz="4" w:space="0" w:color="auto"/>
              <w:right w:val="single" w:sz="4" w:space="0" w:color="auto"/>
            </w:tcBorders>
          </w:tcPr>
          <w:p w14:paraId="56ECDA50" w14:textId="4387594D" w:rsidR="009B2F79" w:rsidRDefault="009B2F79">
            <w:pPr>
              <w:jc w:val="center"/>
              <w:rPr>
                <w:sz w:val="20"/>
              </w:rPr>
            </w:pPr>
            <w:r>
              <w:rPr>
                <w:sz w:val="20"/>
              </w:rPr>
              <w:t>Vaikų, kuriems atliktas TM</w:t>
            </w:r>
          </w:p>
        </w:tc>
      </w:tr>
      <w:tr w:rsidR="009B2F79" w14:paraId="02B7559E" w14:textId="57801EA1" w:rsidTr="00410A29">
        <w:trPr>
          <w:trHeight w:val="851"/>
        </w:trPr>
        <w:tc>
          <w:tcPr>
            <w:tcW w:w="2135" w:type="dxa"/>
            <w:vMerge/>
            <w:tcBorders>
              <w:top w:val="single" w:sz="4" w:space="0" w:color="auto"/>
              <w:left w:val="single" w:sz="4" w:space="0" w:color="auto"/>
              <w:bottom w:val="single" w:sz="4" w:space="0" w:color="auto"/>
              <w:right w:val="single" w:sz="4" w:space="0" w:color="auto"/>
            </w:tcBorders>
            <w:vAlign w:val="center"/>
            <w:hideMark/>
          </w:tcPr>
          <w:p w14:paraId="49905058" w14:textId="77777777" w:rsidR="009B2F79" w:rsidRDefault="009B2F79" w:rsidP="009B2F79">
            <w:pPr>
              <w:rPr>
                <w:sz w:val="20"/>
                <w:lang w:eastAsia="en-US"/>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40670FD8" w14:textId="77777777" w:rsidR="009B2F79" w:rsidRDefault="009B2F79" w:rsidP="009B2F79">
            <w:pPr>
              <w:rPr>
                <w:rFonts w:eastAsiaTheme="minorHAnsi"/>
                <w:color w:val="000000"/>
                <w:sz w:val="20"/>
                <w:lang w:eastAsia="en-US"/>
              </w:rPr>
            </w:pPr>
          </w:p>
        </w:tc>
        <w:tc>
          <w:tcPr>
            <w:tcW w:w="1240" w:type="dxa"/>
            <w:tcBorders>
              <w:top w:val="single" w:sz="4" w:space="0" w:color="auto"/>
              <w:left w:val="single" w:sz="4" w:space="0" w:color="auto"/>
              <w:bottom w:val="nil"/>
              <w:right w:val="single" w:sz="4" w:space="0" w:color="auto"/>
            </w:tcBorders>
            <w:vAlign w:val="center"/>
            <w:hideMark/>
          </w:tcPr>
          <w:p w14:paraId="4CD79D12" w14:textId="77777777" w:rsidR="009B2F79" w:rsidRDefault="009B2F79" w:rsidP="009B2F79">
            <w:pPr>
              <w:rPr>
                <w:szCs w:val="24"/>
              </w:rPr>
            </w:pPr>
            <w:r>
              <w:rPr>
                <w:szCs w:val="24"/>
              </w:rPr>
              <w:t xml:space="preserve">skaičius </w:t>
            </w:r>
          </w:p>
        </w:tc>
        <w:tc>
          <w:tcPr>
            <w:tcW w:w="1155" w:type="dxa"/>
            <w:tcBorders>
              <w:top w:val="single" w:sz="4" w:space="0" w:color="auto"/>
              <w:left w:val="single" w:sz="4" w:space="0" w:color="auto"/>
              <w:bottom w:val="single" w:sz="4" w:space="0" w:color="auto"/>
              <w:right w:val="single" w:sz="4" w:space="0" w:color="auto"/>
            </w:tcBorders>
            <w:vAlign w:val="center"/>
            <w:hideMark/>
          </w:tcPr>
          <w:p w14:paraId="06B19FF2" w14:textId="77777777" w:rsidR="009B2F79" w:rsidRDefault="009B2F79" w:rsidP="009B2F79">
            <w:pPr>
              <w:rPr>
                <w:szCs w:val="24"/>
              </w:rPr>
            </w:pPr>
            <w:r>
              <w:rPr>
                <w:szCs w:val="24"/>
              </w:rPr>
              <w:t>dalis, proc.</w:t>
            </w:r>
          </w:p>
        </w:tc>
        <w:tc>
          <w:tcPr>
            <w:tcW w:w="1064" w:type="dxa"/>
            <w:vMerge/>
            <w:tcBorders>
              <w:left w:val="single" w:sz="4" w:space="0" w:color="auto"/>
              <w:bottom w:val="single" w:sz="4" w:space="0" w:color="auto"/>
              <w:right w:val="single" w:sz="4" w:space="0" w:color="auto"/>
            </w:tcBorders>
          </w:tcPr>
          <w:p w14:paraId="3EBDD5C1" w14:textId="77777777" w:rsidR="009B2F79" w:rsidRDefault="009B2F79" w:rsidP="009B2F79">
            <w:pPr>
              <w:rPr>
                <w:szCs w:val="24"/>
              </w:rPr>
            </w:pPr>
          </w:p>
        </w:tc>
        <w:tc>
          <w:tcPr>
            <w:tcW w:w="1397" w:type="dxa"/>
            <w:tcBorders>
              <w:top w:val="single" w:sz="4" w:space="0" w:color="auto"/>
              <w:left w:val="single" w:sz="4" w:space="0" w:color="auto"/>
              <w:bottom w:val="single" w:sz="4" w:space="0" w:color="auto"/>
              <w:right w:val="single" w:sz="4" w:space="0" w:color="auto"/>
            </w:tcBorders>
            <w:vAlign w:val="center"/>
          </w:tcPr>
          <w:p w14:paraId="630689F0" w14:textId="63F6D4FC" w:rsidR="009B2F79" w:rsidRDefault="009B2F79" w:rsidP="009B2F79">
            <w:pPr>
              <w:rPr>
                <w:szCs w:val="24"/>
              </w:rPr>
            </w:pPr>
            <w:r>
              <w:rPr>
                <w:szCs w:val="24"/>
              </w:rPr>
              <w:t xml:space="preserve">skaičius </w:t>
            </w:r>
          </w:p>
        </w:tc>
        <w:tc>
          <w:tcPr>
            <w:tcW w:w="1578" w:type="dxa"/>
            <w:tcBorders>
              <w:top w:val="single" w:sz="4" w:space="0" w:color="auto"/>
              <w:left w:val="single" w:sz="4" w:space="0" w:color="auto"/>
              <w:bottom w:val="single" w:sz="4" w:space="0" w:color="auto"/>
              <w:right w:val="single" w:sz="4" w:space="0" w:color="auto"/>
            </w:tcBorders>
            <w:vAlign w:val="center"/>
          </w:tcPr>
          <w:p w14:paraId="6923F215" w14:textId="0F55B7F1" w:rsidR="009B2F79" w:rsidRDefault="009B2F79" w:rsidP="009B2F79">
            <w:pPr>
              <w:rPr>
                <w:szCs w:val="24"/>
              </w:rPr>
            </w:pPr>
            <w:r>
              <w:rPr>
                <w:szCs w:val="24"/>
              </w:rPr>
              <w:t>dalis, proc.</w:t>
            </w:r>
          </w:p>
        </w:tc>
      </w:tr>
      <w:tr w:rsidR="00410A29" w14:paraId="031B0CA5" w14:textId="230B098A" w:rsidTr="00410A29">
        <w:trPr>
          <w:trHeight w:val="411"/>
        </w:trPr>
        <w:tc>
          <w:tcPr>
            <w:tcW w:w="2135" w:type="dxa"/>
            <w:tcBorders>
              <w:top w:val="single" w:sz="4" w:space="0" w:color="auto"/>
              <w:left w:val="single" w:sz="4" w:space="0" w:color="auto"/>
              <w:bottom w:val="single" w:sz="4" w:space="0" w:color="auto"/>
              <w:right w:val="single" w:sz="4" w:space="0" w:color="auto"/>
            </w:tcBorders>
            <w:hideMark/>
          </w:tcPr>
          <w:p w14:paraId="4E5C447F" w14:textId="7C029290" w:rsidR="00410A29" w:rsidRDefault="00410A29" w:rsidP="00410A29">
            <w:pPr>
              <w:rPr>
                <w:sz w:val="20"/>
              </w:rPr>
            </w:pPr>
            <w:r>
              <w:rPr>
                <w:sz w:val="20"/>
              </w:rPr>
              <w:t xml:space="preserve">VšĮ </w:t>
            </w:r>
            <w:r w:rsidR="002F76C0">
              <w:rPr>
                <w:sz w:val="20"/>
              </w:rPr>
              <w:t>Pagėgių</w:t>
            </w:r>
            <w:r>
              <w:rPr>
                <w:sz w:val="20"/>
              </w:rPr>
              <w:t xml:space="preserve"> PSPC</w:t>
            </w:r>
          </w:p>
        </w:tc>
        <w:tc>
          <w:tcPr>
            <w:tcW w:w="1064" w:type="dxa"/>
            <w:tcBorders>
              <w:top w:val="single" w:sz="4" w:space="0" w:color="auto"/>
              <w:left w:val="single" w:sz="4" w:space="0" w:color="auto"/>
              <w:bottom w:val="single" w:sz="4" w:space="0" w:color="auto"/>
              <w:right w:val="single" w:sz="4" w:space="0" w:color="auto"/>
            </w:tcBorders>
            <w:vAlign w:val="center"/>
          </w:tcPr>
          <w:p w14:paraId="44BC9B86" w14:textId="2731F8E3" w:rsidR="00410A29" w:rsidRDefault="001C3482" w:rsidP="00410A29">
            <w:pPr>
              <w:jc w:val="center"/>
              <w:rPr>
                <w:sz w:val="20"/>
              </w:rPr>
            </w:pPr>
            <w:r>
              <w:rPr>
                <w:sz w:val="20"/>
              </w:rPr>
              <w:t>10</w:t>
            </w:r>
          </w:p>
        </w:tc>
        <w:tc>
          <w:tcPr>
            <w:tcW w:w="1240" w:type="dxa"/>
            <w:tcBorders>
              <w:top w:val="single" w:sz="4" w:space="0" w:color="auto"/>
              <w:left w:val="single" w:sz="4" w:space="0" w:color="auto"/>
              <w:bottom w:val="single" w:sz="4" w:space="0" w:color="auto"/>
              <w:right w:val="single" w:sz="4" w:space="0" w:color="auto"/>
            </w:tcBorders>
            <w:vAlign w:val="center"/>
          </w:tcPr>
          <w:p w14:paraId="12A736EE" w14:textId="3FFA7C6C" w:rsidR="00410A29" w:rsidRDefault="001C3482" w:rsidP="00410A29">
            <w:pPr>
              <w:jc w:val="center"/>
              <w:rPr>
                <w:sz w:val="20"/>
              </w:rPr>
            </w:pPr>
            <w:r>
              <w:rPr>
                <w:sz w:val="20"/>
              </w:rPr>
              <w:t>8</w:t>
            </w:r>
          </w:p>
        </w:tc>
        <w:tc>
          <w:tcPr>
            <w:tcW w:w="1155" w:type="dxa"/>
            <w:tcBorders>
              <w:top w:val="single" w:sz="4" w:space="0" w:color="auto"/>
              <w:left w:val="single" w:sz="4" w:space="0" w:color="auto"/>
              <w:bottom w:val="single" w:sz="4" w:space="0" w:color="auto"/>
              <w:right w:val="single" w:sz="4" w:space="0" w:color="auto"/>
            </w:tcBorders>
            <w:vAlign w:val="center"/>
          </w:tcPr>
          <w:p w14:paraId="33F2F45F" w14:textId="07840D5C" w:rsidR="00410A29" w:rsidRDefault="001C3482" w:rsidP="00410A29">
            <w:pPr>
              <w:jc w:val="center"/>
              <w:rPr>
                <w:sz w:val="20"/>
              </w:rPr>
            </w:pPr>
            <w:r>
              <w:rPr>
                <w:sz w:val="20"/>
              </w:rPr>
              <w:t>8</w:t>
            </w:r>
            <w:r w:rsidR="002F76C0">
              <w:rPr>
                <w:sz w:val="20"/>
              </w:rPr>
              <w:t>0</w:t>
            </w:r>
          </w:p>
        </w:tc>
        <w:tc>
          <w:tcPr>
            <w:tcW w:w="1064" w:type="dxa"/>
            <w:tcBorders>
              <w:top w:val="single" w:sz="4" w:space="0" w:color="auto"/>
              <w:left w:val="single" w:sz="4" w:space="0" w:color="auto"/>
              <w:bottom w:val="single" w:sz="4" w:space="0" w:color="auto"/>
              <w:right w:val="single" w:sz="4" w:space="0" w:color="auto"/>
            </w:tcBorders>
            <w:vAlign w:val="center"/>
          </w:tcPr>
          <w:p w14:paraId="7DE3F319" w14:textId="7B7DE480" w:rsidR="00410A29" w:rsidRDefault="00670B5A" w:rsidP="00410A29">
            <w:pPr>
              <w:jc w:val="center"/>
              <w:rPr>
                <w:sz w:val="20"/>
              </w:rPr>
            </w:pPr>
            <w:r>
              <w:rPr>
                <w:sz w:val="20"/>
              </w:rPr>
              <w:t>9</w:t>
            </w:r>
          </w:p>
        </w:tc>
        <w:tc>
          <w:tcPr>
            <w:tcW w:w="1397" w:type="dxa"/>
            <w:tcBorders>
              <w:top w:val="single" w:sz="4" w:space="0" w:color="auto"/>
              <w:left w:val="single" w:sz="4" w:space="0" w:color="auto"/>
              <w:bottom w:val="single" w:sz="4" w:space="0" w:color="auto"/>
              <w:right w:val="single" w:sz="4" w:space="0" w:color="auto"/>
            </w:tcBorders>
            <w:vAlign w:val="center"/>
          </w:tcPr>
          <w:p w14:paraId="0621B031" w14:textId="27B3F7EA" w:rsidR="00410A29" w:rsidRDefault="00670B5A" w:rsidP="00410A29">
            <w:pPr>
              <w:jc w:val="center"/>
              <w:rPr>
                <w:sz w:val="20"/>
              </w:rPr>
            </w:pPr>
            <w:r>
              <w:rPr>
                <w:sz w:val="20"/>
              </w:rPr>
              <w:t>7</w:t>
            </w:r>
          </w:p>
        </w:tc>
        <w:tc>
          <w:tcPr>
            <w:tcW w:w="1578" w:type="dxa"/>
            <w:tcBorders>
              <w:top w:val="single" w:sz="4" w:space="0" w:color="auto"/>
              <w:left w:val="single" w:sz="4" w:space="0" w:color="auto"/>
              <w:bottom w:val="single" w:sz="4" w:space="0" w:color="auto"/>
              <w:right w:val="single" w:sz="4" w:space="0" w:color="auto"/>
            </w:tcBorders>
            <w:vAlign w:val="center"/>
          </w:tcPr>
          <w:p w14:paraId="7979BAE9" w14:textId="18CD6D67" w:rsidR="00410A29" w:rsidRDefault="00670B5A" w:rsidP="00410A29">
            <w:pPr>
              <w:jc w:val="center"/>
              <w:rPr>
                <w:sz w:val="20"/>
              </w:rPr>
            </w:pPr>
            <w:r>
              <w:rPr>
                <w:sz w:val="20"/>
              </w:rPr>
              <w:t>77,7</w:t>
            </w:r>
          </w:p>
        </w:tc>
      </w:tr>
      <w:tr w:rsidR="002F76C0" w14:paraId="0C23D3EE" w14:textId="4E047D4C" w:rsidTr="00410A29">
        <w:trPr>
          <w:trHeight w:val="631"/>
        </w:trPr>
        <w:tc>
          <w:tcPr>
            <w:tcW w:w="2135" w:type="dxa"/>
            <w:tcBorders>
              <w:top w:val="single" w:sz="4" w:space="0" w:color="auto"/>
              <w:left w:val="single" w:sz="4" w:space="0" w:color="auto"/>
              <w:bottom w:val="single" w:sz="4" w:space="0" w:color="auto"/>
              <w:right w:val="single" w:sz="4" w:space="0" w:color="auto"/>
            </w:tcBorders>
            <w:hideMark/>
          </w:tcPr>
          <w:p w14:paraId="3FC0D315" w14:textId="1F57A78E" w:rsidR="002F76C0" w:rsidRDefault="002F76C0" w:rsidP="002F76C0">
            <w:pPr>
              <w:rPr>
                <w:sz w:val="20"/>
              </w:rPr>
            </w:pPr>
            <w:bookmarkStart w:id="2" w:name="_Hlk141188564"/>
            <w:r w:rsidRPr="0048427C">
              <w:rPr>
                <w:sz w:val="20"/>
              </w:rPr>
              <w:t>UAB Medicinos namai šeimai, Pagėgiai</w:t>
            </w:r>
          </w:p>
        </w:tc>
        <w:tc>
          <w:tcPr>
            <w:tcW w:w="1064" w:type="dxa"/>
            <w:tcBorders>
              <w:top w:val="single" w:sz="4" w:space="0" w:color="auto"/>
              <w:left w:val="single" w:sz="4" w:space="0" w:color="auto"/>
              <w:bottom w:val="single" w:sz="4" w:space="0" w:color="auto"/>
              <w:right w:val="single" w:sz="4" w:space="0" w:color="auto"/>
            </w:tcBorders>
            <w:vAlign w:val="center"/>
          </w:tcPr>
          <w:p w14:paraId="636EAEDC" w14:textId="3A5275D6" w:rsidR="002F76C0" w:rsidRDefault="001C3482" w:rsidP="002F76C0">
            <w:pPr>
              <w:jc w:val="center"/>
              <w:rPr>
                <w:sz w:val="20"/>
              </w:rPr>
            </w:pPr>
            <w:r>
              <w:rPr>
                <w:sz w:val="20"/>
              </w:rPr>
              <w:t>0</w:t>
            </w:r>
          </w:p>
        </w:tc>
        <w:tc>
          <w:tcPr>
            <w:tcW w:w="1240" w:type="dxa"/>
            <w:tcBorders>
              <w:top w:val="single" w:sz="4" w:space="0" w:color="auto"/>
              <w:left w:val="single" w:sz="4" w:space="0" w:color="auto"/>
              <w:bottom w:val="single" w:sz="4" w:space="0" w:color="auto"/>
              <w:right w:val="single" w:sz="4" w:space="0" w:color="auto"/>
            </w:tcBorders>
            <w:vAlign w:val="center"/>
          </w:tcPr>
          <w:p w14:paraId="283723C9" w14:textId="0CB2C80A" w:rsidR="002F76C0" w:rsidRDefault="002F76C0" w:rsidP="002F76C0">
            <w:pPr>
              <w:jc w:val="center"/>
              <w:rPr>
                <w:sz w:val="20"/>
              </w:rPr>
            </w:pPr>
            <w:r w:rsidRPr="0048427C">
              <w:rPr>
                <w:sz w:val="20"/>
              </w:rPr>
              <w:t>0</w:t>
            </w:r>
          </w:p>
        </w:tc>
        <w:tc>
          <w:tcPr>
            <w:tcW w:w="1155" w:type="dxa"/>
            <w:tcBorders>
              <w:top w:val="single" w:sz="4" w:space="0" w:color="auto"/>
              <w:left w:val="single" w:sz="4" w:space="0" w:color="auto"/>
              <w:bottom w:val="single" w:sz="4" w:space="0" w:color="auto"/>
              <w:right w:val="single" w:sz="4" w:space="0" w:color="auto"/>
            </w:tcBorders>
            <w:vAlign w:val="center"/>
          </w:tcPr>
          <w:p w14:paraId="6664A524" w14:textId="7D41A6AA" w:rsidR="002F76C0" w:rsidRDefault="002F76C0" w:rsidP="002F76C0">
            <w:pPr>
              <w:jc w:val="center"/>
              <w:rPr>
                <w:sz w:val="20"/>
              </w:rPr>
            </w:pPr>
            <w:r>
              <w:rPr>
                <w:sz w:val="20"/>
              </w:rPr>
              <w:t>0</w:t>
            </w:r>
          </w:p>
        </w:tc>
        <w:tc>
          <w:tcPr>
            <w:tcW w:w="1064" w:type="dxa"/>
            <w:tcBorders>
              <w:top w:val="single" w:sz="4" w:space="0" w:color="auto"/>
              <w:left w:val="single" w:sz="4" w:space="0" w:color="auto"/>
              <w:bottom w:val="single" w:sz="4" w:space="0" w:color="auto"/>
              <w:right w:val="single" w:sz="4" w:space="0" w:color="auto"/>
            </w:tcBorders>
            <w:vAlign w:val="center"/>
          </w:tcPr>
          <w:p w14:paraId="5B3E57D2" w14:textId="3E3A97C3" w:rsidR="002F76C0" w:rsidRDefault="00670B5A" w:rsidP="002F76C0">
            <w:pPr>
              <w:jc w:val="center"/>
              <w:rPr>
                <w:sz w:val="20"/>
              </w:rPr>
            </w:pPr>
            <w:r>
              <w:rPr>
                <w:sz w:val="20"/>
              </w:rPr>
              <w:t>0</w:t>
            </w:r>
          </w:p>
        </w:tc>
        <w:tc>
          <w:tcPr>
            <w:tcW w:w="1397" w:type="dxa"/>
            <w:tcBorders>
              <w:top w:val="single" w:sz="4" w:space="0" w:color="auto"/>
              <w:left w:val="single" w:sz="4" w:space="0" w:color="auto"/>
              <w:bottom w:val="single" w:sz="4" w:space="0" w:color="auto"/>
              <w:right w:val="single" w:sz="4" w:space="0" w:color="auto"/>
            </w:tcBorders>
            <w:vAlign w:val="center"/>
          </w:tcPr>
          <w:p w14:paraId="6A61C498" w14:textId="68DCDFD1" w:rsidR="002F76C0" w:rsidRDefault="00670B5A" w:rsidP="002F76C0">
            <w:pPr>
              <w:jc w:val="center"/>
              <w:rPr>
                <w:sz w:val="20"/>
              </w:rPr>
            </w:pPr>
            <w:r>
              <w:rPr>
                <w:sz w:val="20"/>
              </w:rPr>
              <w:t>0</w:t>
            </w:r>
          </w:p>
        </w:tc>
        <w:tc>
          <w:tcPr>
            <w:tcW w:w="1578" w:type="dxa"/>
            <w:tcBorders>
              <w:top w:val="single" w:sz="4" w:space="0" w:color="auto"/>
              <w:left w:val="single" w:sz="4" w:space="0" w:color="auto"/>
              <w:bottom w:val="single" w:sz="4" w:space="0" w:color="auto"/>
              <w:right w:val="single" w:sz="4" w:space="0" w:color="auto"/>
            </w:tcBorders>
            <w:vAlign w:val="center"/>
          </w:tcPr>
          <w:p w14:paraId="1D47A1CE" w14:textId="7C8335CE" w:rsidR="002F76C0" w:rsidRDefault="00670B5A" w:rsidP="002F76C0">
            <w:pPr>
              <w:jc w:val="center"/>
              <w:rPr>
                <w:sz w:val="20"/>
              </w:rPr>
            </w:pPr>
            <w:r>
              <w:rPr>
                <w:sz w:val="20"/>
              </w:rPr>
              <w:t>0</w:t>
            </w:r>
          </w:p>
        </w:tc>
        <w:bookmarkEnd w:id="2"/>
      </w:tr>
      <w:tr w:rsidR="002F76C0" w14:paraId="245975A9" w14:textId="60172377" w:rsidTr="00410A29">
        <w:trPr>
          <w:trHeight w:val="617"/>
        </w:trPr>
        <w:tc>
          <w:tcPr>
            <w:tcW w:w="2135" w:type="dxa"/>
            <w:tcBorders>
              <w:top w:val="single" w:sz="4" w:space="0" w:color="auto"/>
              <w:left w:val="single" w:sz="4" w:space="0" w:color="auto"/>
              <w:bottom w:val="single" w:sz="4" w:space="0" w:color="auto"/>
              <w:right w:val="single" w:sz="4" w:space="0" w:color="auto"/>
            </w:tcBorders>
            <w:hideMark/>
          </w:tcPr>
          <w:p w14:paraId="55860888" w14:textId="36F8482F" w:rsidR="002F76C0" w:rsidRDefault="002F76C0" w:rsidP="002F76C0">
            <w:pPr>
              <w:rPr>
                <w:sz w:val="20"/>
              </w:rPr>
            </w:pPr>
            <w:r w:rsidRPr="0048427C">
              <w:rPr>
                <w:sz w:val="20"/>
              </w:rPr>
              <w:t>IĮ Pagėgių šeimos centras</w:t>
            </w:r>
          </w:p>
        </w:tc>
        <w:tc>
          <w:tcPr>
            <w:tcW w:w="1064" w:type="dxa"/>
            <w:tcBorders>
              <w:top w:val="single" w:sz="4" w:space="0" w:color="auto"/>
              <w:left w:val="single" w:sz="4" w:space="0" w:color="auto"/>
              <w:bottom w:val="single" w:sz="4" w:space="0" w:color="auto"/>
              <w:right w:val="single" w:sz="4" w:space="0" w:color="auto"/>
            </w:tcBorders>
            <w:vAlign w:val="center"/>
          </w:tcPr>
          <w:p w14:paraId="120236A8" w14:textId="087F543C" w:rsidR="002F76C0" w:rsidRDefault="002F76C0" w:rsidP="002F76C0">
            <w:pPr>
              <w:jc w:val="center"/>
              <w:rPr>
                <w:sz w:val="20"/>
              </w:rPr>
            </w:pPr>
            <w:r w:rsidRPr="0048427C">
              <w:rPr>
                <w:sz w:val="20"/>
              </w:rPr>
              <w:t>7</w:t>
            </w:r>
          </w:p>
        </w:tc>
        <w:tc>
          <w:tcPr>
            <w:tcW w:w="1240" w:type="dxa"/>
            <w:tcBorders>
              <w:top w:val="single" w:sz="4" w:space="0" w:color="auto"/>
              <w:left w:val="single" w:sz="4" w:space="0" w:color="auto"/>
              <w:bottom w:val="single" w:sz="4" w:space="0" w:color="auto"/>
              <w:right w:val="single" w:sz="4" w:space="0" w:color="auto"/>
            </w:tcBorders>
            <w:vAlign w:val="center"/>
          </w:tcPr>
          <w:p w14:paraId="79F7780F" w14:textId="01D16067" w:rsidR="002F76C0" w:rsidRDefault="001C3482" w:rsidP="002F76C0">
            <w:pPr>
              <w:jc w:val="center"/>
              <w:rPr>
                <w:sz w:val="20"/>
              </w:rPr>
            </w:pPr>
            <w:r>
              <w:rPr>
                <w:sz w:val="20"/>
              </w:rPr>
              <w:t>7</w:t>
            </w:r>
          </w:p>
        </w:tc>
        <w:tc>
          <w:tcPr>
            <w:tcW w:w="1155" w:type="dxa"/>
            <w:tcBorders>
              <w:top w:val="single" w:sz="4" w:space="0" w:color="auto"/>
              <w:left w:val="single" w:sz="4" w:space="0" w:color="auto"/>
              <w:bottom w:val="single" w:sz="4" w:space="0" w:color="auto"/>
              <w:right w:val="single" w:sz="4" w:space="0" w:color="auto"/>
            </w:tcBorders>
            <w:vAlign w:val="center"/>
          </w:tcPr>
          <w:p w14:paraId="25C5DE06" w14:textId="79F0850D" w:rsidR="002F76C0" w:rsidRDefault="001C3482" w:rsidP="002F76C0">
            <w:pPr>
              <w:jc w:val="center"/>
              <w:rPr>
                <w:sz w:val="20"/>
              </w:rPr>
            </w:pPr>
            <w:r>
              <w:rPr>
                <w:sz w:val="20"/>
              </w:rPr>
              <w:t>10</w:t>
            </w:r>
            <w:r w:rsidR="002F76C0">
              <w:rPr>
                <w:sz w:val="20"/>
              </w:rPr>
              <w:t>0</w:t>
            </w:r>
          </w:p>
        </w:tc>
        <w:tc>
          <w:tcPr>
            <w:tcW w:w="1064" w:type="dxa"/>
            <w:tcBorders>
              <w:top w:val="single" w:sz="4" w:space="0" w:color="auto"/>
              <w:left w:val="single" w:sz="4" w:space="0" w:color="auto"/>
              <w:bottom w:val="single" w:sz="4" w:space="0" w:color="auto"/>
              <w:right w:val="single" w:sz="4" w:space="0" w:color="auto"/>
            </w:tcBorders>
            <w:vAlign w:val="center"/>
          </w:tcPr>
          <w:p w14:paraId="2364E711" w14:textId="2E7CC3E5" w:rsidR="002F76C0" w:rsidRDefault="00670B5A" w:rsidP="008B48F9">
            <w:pPr>
              <w:jc w:val="center"/>
              <w:rPr>
                <w:sz w:val="20"/>
              </w:rPr>
            </w:pPr>
            <w:r>
              <w:rPr>
                <w:sz w:val="20"/>
              </w:rPr>
              <w:t>0</w:t>
            </w:r>
          </w:p>
        </w:tc>
        <w:tc>
          <w:tcPr>
            <w:tcW w:w="1397" w:type="dxa"/>
            <w:tcBorders>
              <w:top w:val="single" w:sz="4" w:space="0" w:color="auto"/>
              <w:left w:val="single" w:sz="4" w:space="0" w:color="auto"/>
              <w:bottom w:val="single" w:sz="4" w:space="0" w:color="auto"/>
              <w:right w:val="single" w:sz="4" w:space="0" w:color="auto"/>
            </w:tcBorders>
            <w:vAlign w:val="center"/>
          </w:tcPr>
          <w:p w14:paraId="31EA4BC9" w14:textId="0373EB2E" w:rsidR="002F76C0" w:rsidRDefault="00670B5A" w:rsidP="002F76C0">
            <w:pPr>
              <w:jc w:val="center"/>
              <w:rPr>
                <w:sz w:val="20"/>
              </w:rPr>
            </w:pPr>
            <w:r>
              <w:rPr>
                <w:sz w:val="20"/>
              </w:rPr>
              <w:t>0</w:t>
            </w:r>
          </w:p>
        </w:tc>
        <w:tc>
          <w:tcPr>
            <w:tcW w:w="1578" w:type="dxa"/>
            <w:tcBorders>
              <w:top w:val="single" w:sz="4" w:space="0" w:color="auto"/>
              <w:left w:val="single" w:sz="4" w:space="0" w:color="auto"/>
              <w:bottom w:val="single" w:sz="4" w:space="0" w:color="auto"/>
              <w:right w:val="single" w:sz="4" w:space="0" w:color="auto"/>
            </w:tcBorders>
            <w:vAlign w:val="center"/>
          </w:tcPr>
          <w:p w14:paraId="72B87EF1" w14:textId="11120607" w:rsidR="002F76C0" w:rsidRDefault="00670B5A" w:rsidP="002F76C0">
            <w:pPr>
              <w:jc w:val="center"/>
              <w:rPr>
                <w:sz w:val="20"/>
              </w:rPr>
            </w:pPr>
            <w:r>
              <w:rPr>
                <w:sz w:val="20"/>
              </w:rPr>
              <w:t>0</w:t>
            </w:r>
          </w:p>
        </w:tc>
      </w:tr>
    </w:tbl>
    <w:p w14:paraId="4EF27DD3" w14:textId="77777777" w:rsidR="001A75DB" w:rsidRDefault="001A75DB" w:rsidP="001A75DB">
      <w:pPr>
        <w:rPr>
          <w:b/>
          <w:bCs/>
          <w:szCs w:val="24"/>
        </w:rPr>
      </w:pPr>
    </w:p>
    <w:p w14:paraId="47D1EAB5" w14:textId="35FC84DA" w:rsidR="001A75DB" w:rsidRDefault="008B48F9" w:rsidP="008B48F9">
      <w:pPr>
        <w:pStyle w:val="Sraopastraipa"/>
        <w:tabs>
          <w:tab w:val="left" w:pos="4395"/>
        </w:tabs>
        <w:rPr>
          <w:b/>
          <w:bCs/>
          <w:szCs w:val="24"/>
        </w:rPr>
      </w:pPr>
      <w:r>
        <w:rPr>
          <w:b/>
          <w:bCs/>
          <w:szCs w:val="24"/>
        </w:rPr>
        <w:tab/>
        <w:t>Išvados</w:t>
      </w:r>
    </w:p>
    <w:p w14:paraId="5B260089" w14:textId="77777777" w:rsidR="001A75DB" w:rsidRDefault="001A75DB" w:rsidP="001A75DB">
      <w:pPr>
        <w:jc w:val="center"/>
        <w:rPr>
          <w:b/>
          <w:bCs/>
          <w:szCs w:val="24"/>
        </w:rPr>
      </w:pPr>
    </w:p>
    <w:p w14:paraId="5BEF7F5B" w14:textId="52AF5858" w:rsidR="001A75DB" w:rsidRPr="00035694" w:rsidRDefault="001A75DB" w:rsidP="001A75DB">
      <w:pPr>
        <w:ind w:firstLine="567"/>
        <w:jc w:val="both"/>
        <w:rPr>
          <w:color w:val="FF0000"/>
          <w:szCs w:val="24"/>
        </w:rPr>
      </w:pPr>
      <w:r>
        <w:rPr>
          <w:szCs w:val="24"/>
        </w:rPr>
        <w:t xml:space="preserve">1. </w:t>
      </w:r>
      <w:r w:rsidR="00C834FE">
        <w:rPr>
          <w:szCs w:val="24"/>
        </w:rPr>
        <w:t>Pagėgių sav</w:t>
      </w:r>
      <w:r w:rsidR="00EA5B4C">
        <w:rPr>
          <w:szCs w:val="24"/>
        </w:rPr>
        <w:t xml:space="preserve">ivaldybėje </w:t>
      </w:r>
      <w:r w:rsidR="00410A29">
        <w:rPr>
          <w:szCs w:val="24"/>
        </w:rPr>
        <w:t>202</w:t>
      </w:r>
      <w:r w:rsidR="00670B5A">
        <w:rPr>
          <w:szCs w:val="24"/>
        </w:rPr>
        <w:t>3</w:t>
      </w:r>
      <w:r w:rsidR="00410A29">
        <w:rPr>
          <w:szCs w:val="24"/>
        </w:rPr>
        <w:t xml:space="preserve"> m. TM </w:t>
      </w:r>
      <w:r>
        <w:rPr>
          <w:szCs w:val="24"/>
        </w:rPr>
        <w:t xml:space="preserve">buvo atliktas </w:t>
      </w:r>
      <w:r w:rsidR="00516C4D">
        <w:rPr>
          <w:szCs w:val="24"/>
        </w:rPr>
        <w:t>(</w:t>
      </w:r>
      <w:r w:rsidR="00907285">
        <w:rPr>
          <w:szCs w:val="24"/>
        </w:rPr>
        <w:t>61,8</w:t>
      </w:r>
      <w:r>
        <w:rPr>
          <w:szCs w:val="24"/>
        </w:rPr>
        <w:t xml:space="preserve"> proc.</w:t>
      </w:r>
      <w:r w:rsidR="00516C4D">
        <w:rPr>
          <w:szCs w:val="24"/>
        </w:rPr>
        <w:t>)</w:t>
      </w:r>
      <w:r>
        <w:rPr>
          <w:szCs w:val="24"/>
        </w:rPr>
        <w:t xml:space="preserve"> vaikų</w:t>
      </w:r>
      <w:r w:rsidR="004C2150">
        <w:rPr>
          <w:szCs w:val="24"/>
        </w:rPr>
        <w:t>.</w:t>
      </w:r>
      <w:r w:rsidR="00EB23B6">
        <w:rPr>
          <w:szCs w:val="24"/>
        </w:rPr>
        <w:t xml:space="preserve"> 2024 m</w:t>
      </w:r>
      <w:r w:rsidR="00C34228">
        <w:rPr>
          <w:szCs w:val="24"/>
        </w:rPr>
        <w:t>.</w:t>
      </w:r>
      <w:r w:rsidR="00EB23B6">
        <w:rPr>
          <w:szCs w:val="24"/>
        </w:rPr>
        <w:t xml:space="preserve"> </w:t>
      </w:r>
      <w:r w:rsidR="00516C4D">
        <w:rPr>
          <w:szCs w:val="24"/>
        </w:rPr>
        <w:t>(</w:t>
      </w:r>
      <w:r w:rsidR="00907285">
        <w:rPr>
          <w:szCs w:val="24"/>
        </w:rPr>
        <w:t>20,7</w:t>
      </w:r>
      <w:r w:rsidR="00EB23B6">
        <w:rPr>
          <w:szCs w:val="24"/>
        </w:rPr>
        <w:t xml:space="preserve"> proc. </w:t>
      </w:r>
      <w:r w:rsidR="00516C4D">
        <w:rPr>
          <w:szCs w:val="24"/>
        </w:rPr>
        <w:t xml:space="preserve">) </w:t>
      </w:r>
      <w:r w:rsidR="00EB23B6">
        <w:rPr>
          <w:szCs w:val="24"/>
        </w:rPr>
        <w:t>vaikų</w:t>
      </w:r>
      <w:r w:rsidR="00BD3CF3">
        <w:rPr>
          <w:szCs w:val="24"/>
        </w:rPr>
        <w:t>. 2024 m. 41,1 proc. sumažėjo TM mėginių atlikimo apimtys.</w:t>
      </w:r>
      <w:r w:rsidR="002B15FD">
        <w:rPr>
          <w:szCs w:val="24"/>
        </w:rPr>
        <w:t xml:space="preserve">  </w:t>
      </w:r>
    </w:p>
    <w:p w14:paraId="0DF59C01" w14:textId="5D85021F" w:rsidR="001A75DB" w:rsidRDefault="001A75DB" w:rsidP="001A75DB">
      <w:pPr>
        <w:ind w:firstLine="567"/>
        <w:jc w:val="both"/>
        <w:rPr>
          <w:szCs w:val="24"/>
        </w:rPr>
      </w:pPr>
      <w:r>
        <w:rPr>
          <w:szCs w:val="24"/>
        </w:rPr>
        <w:t xml:space="preserve">2. Iš visų </w:t>
      </w:r>
      <w:r w:rsidR="004C2150">
        <w:rPr>
          <w:szCs w:val="24"/>
        </w:rPr>
        <w:t>55</w:t>
      </w:r>
      <w:r w:rsidR="00066668">
        <w:rPr>
          <w:szCs w:val="24"/>
        </w:rPr>
        <w:t xml:space="preserve"> ištirtų vaikų</w:t>
      </w:r>
      <w:r w:rsidR="001E3810">
        <w:rPr>
          <w:szCs w:val="24"/>
        </w:rPr>
        <w:t>,</w:t>
      </w:r>
      <w:r w:rsidR="00066668">
        <w:rPr>
          <w:szCs w:val="24"/>
        </w:rPr>
        <w:t xml:space="preserve"> 202</w:t>
      </w:r>
      <w:r w:rsidR="004C2150">
        <w:rPr>
          <w:szCs w:val="24"/>
        </w:rPr>
        <w:t>3</w:t>
      </w:r>
      <w:r w:rsidR="00066668">
        <w:rPr>
          <w:szCs w:val="24"/>
        </w:rPr>
        <w:t xml:space="preserve"> m. </w:t>
      </w:r>
      <w:r w:rsidR="004C2150">
        <w:rPr>
          <w:szCs w:val="24"/>
        </w:rPr>
        <w:t>3</w:t>
      </w:r>
      <w:r w:rsidR="00066668">
        <w:rPr>
          <w:szCs w:val="24"/>
        </w:rPr>
        <w:t xml:space="preserve"> vaikams (</w:t>
      </w:r>
      <w:r w:rsidR="004C2150">
        <w:rPr>
          <w:szCs w:val="24"/>
        </w:rPr>
        <w:t>5,5</w:t>
      </w:r>
      <w:r w:rsidR="00066668">
        <w:rPr>
          <w:szCs w:val="24"/>
        </w:rPr>
        <w:t xml:space="preserve"> proc.) nustatytas teigiamas TM, tačiau nei vienam vaikui TB nepatvirtinta. </w:t>
      </w:r>
      <w:r w:rsidR="00EB23B6">
        <w:rPr>
          <w:szCs w:val="24"/>
        </w:rPr>
        <w:t>2024 m. iš tirtų 15 vaikų</w:t>
      </w:r>
      <w:r w:rsidR="003D0A59">
        <w:rPr>
          <w:szCs w:val="24"/>
        </w:rPr>
        <w:t>,</w:t>
      </w:r>
      <w:r w:rsidR="00EB23B6">
        <w:rPr>
          <w:szCs w:val="24"/>
        </w:rPr>
        <w:t xml:space="preserve"> teigiamas TM </w:t>
      </w:r>
      <w:r w:rsidR="00FE31EC">
        <w:rPr>
          <w:szCs w:val="24"/>
        </w:rPr>
        <w:t xml:space="preserve">taip pat </w:t>
      </w:r>
      <w:r w:rsidR="00EB23B6">
        <w:rPr>
          <w:szCs w:val="24"/>
        </w:rPr>
        <w:t>nenustatytas nei vienam vaikui.</w:t>
      </w:r>
    </w:p>
    <w:p w14:paraId="43AB1B51" w14:textId="77777777" w:rsidR="00410A29" w:rsidRDefault="00410A29" w:rsidP="001A75DB">
      <w:pPr>
        <w:ind w:firstLine="567"/>
        <w:jc w:val="both"/>
        <w:rPr>
          <w:szCs w:val="24"/>
        </w:rPr>
      </w:pPr>
    </w:p>
    <w:p w14:paraId="67F6C08C" w14:textId="77777777" w:rsidR="001A75DB" w:rsidRDefault="001A75DB" w:rsidP="008B48F9">
      <w:pPr>
        <w:tabs>
          <w:tab w:val="right" w:leader="underscore" w:pos="9072"/>
        </w:tabs>
        <w:suppressAutoHyphens/>
        <w:jc w:val="center"/>
        <w:rPr>
          <w:b/>
          <w:bCs/>
        </w:rPr>
      </w:pPr>
      <w:r>
        <w:rPr>
          <w:b/>
          <w:bCs/>
        </w:rPr>
        <w:t>Siūlymai</w:t>
      </w:r>
    </w:p>
    <w:p w14:paraId="3705A6DB" w14:textId="77777777" w:rsidR="001E3810" w:rsidRDefault="001E3810" w:rsidP="008B48F9">
      <w:pPr>
        <w:tabs>
          <w:tab w:val="right" w:leader="underscore" w:pos="9072"/>
        </w:tabs>
        <w:suppressAutoHyphens/>
        <w:jc w:val="center"/>
        <w:rPr>
          <w:b/>
          <w:bCs/>
        </w:rPr>
      </w:pPr>
    </w:p>
    <w:p w14:paraId="0045A44A" w14:textId="1499BE02" w:rsidR="001A75DB" w:rsidRDefault="001A75DB" w:rsidP="00EA5B4C">
      <w:pPr>
        <w:tabs>
          <w:tab w:val="right" w:leader="underscore" w:pos="9072"/>
        </w:tabs>
        <w:suppressAutoHyphens/>
        <w:ind w:firstLine="567"/>
        <w:rPr>
          <w:rFonts w:eastAsia="Calibri"/>
          <w:szCs w:val="24"/>
          <w:lang w:eastAsia="zh-CN"/>
        </w:rPr>
      </w:pPr>
      <w:r>
        <w:t xml:space="preserve">Gerinti ankstyvą TB diagnostiką, aktyvinant kasmet atliekamus 6–7 metų amžiaus ir rizikos grupių vaikų profilaktinius tikrinimus, atliekant TM dėl TB. </w:t>
      </w:r>
    </w:p>
    <w:p w14:paraId="0ABC4DCE" w14:textId="77777777" w:rsidR="001A75DB" w:rsidRDefault="001A75DB" w:rsidP="001A75DB">
      <w:pPr>
        <w:tabs>
          <w:tab w:val="right" w:leader="underscore" w:pos="9072"/>
        </w:tabs>
        <w:suppressAutoHyphens/>
        <w:rPr>
          <w:rFonts w:eastAsia="Calibri"/>
          <w:szCs w:val="24"/>
          <w:lang w:eastAsia="zh-CN"/>
        </w:rPr>
      </w:pPr>
    </w:p>
    <w:p w14:paraId="75017DAC" w14:textId="77777777" w:rsidR="001A75DB" w:rsidRDefault="001A75DB" w:rsidP="001A75DB">
      <w:pPr>
        <w:tabs>
          <w:tab w:val="right" w:leader="underscore" w:pos="9072"/>
        </w:tabs>
        <w:suppressAutoHyphens/>
        <w:rPr>
          <w:rFonts w:eastAsia="Calibri"/>
          <w:szCs w:val="24"/>
          <w:lang w:eastAsia="zh-CN"/>
        </w:rPr>
      </w:pPr>
      <w:r>
        <w:rPr>
          <w:rFonts w:eastAsia="Calibri"/>
          <w:szCs w:val="24"/>
          <w:lang w:eastAsia="zh-CN"/>
        </w:rPr>
        <w:t xml:space="preserve">                                                                                                                                                          </w:t>
      </w:r>
    </w:p>
    <w:p w14:paraId="553F33A6" w14:textId="77777777" w:rsidR="001A75DB" w:rsidRDefault="001A75DB" w:rsidP="001A75DB">
      <w:pPr>
        <w:pStyle w:val="Default"/>
      </w:pPr>
      <w:r>
        <w:t>Parengė</w:t>
      </w:r>
    </w:p>
    <w:p w14:paraId="74AD41E4" w14:textId="77777777" w:rsidR="001A75DB" w:rsidRDefault="001A75DB" w:rsidP="001A75DB">
      <w:pPr>
        <w:pStyle w:val="Default"/>
      </w:pPr>
      <w:r>
        <w:t>NVSC Tauragės departamento</w:t>
      </w:r>
    </w:p>
    <w:p w14:paraId="35C5B8D2" w14:textId="77777777" w:rsidR="001A75DB" w:rsidRDefault="001A75DB" w:rsidP="001A75DB">
      <w:pPr>
        <w:pStyle w:val="Default"/>
      </w:pPr>
      <w:r>
        <w:t>Užkrečiamųjų ligų valdymo skyriaus</w:t>
      </w:r>
    </w:p>
    <w:p w14:paraId="7D5026D4" w14:textId="77777777" w:rsidR="001A75DB" w:rsidRDefault="001A75DB" w:rsidP="001A75DB">
      <w:pPr>
        <w:pStyle w:val="Default"/>
      </w:pPr>
      <w:r>
        <w:t>visuomenės sveikatos stiprinimo specialistė</w:t>
      </w:r>
    </w:p>
    <w:p w14:paraId="06EE8B5B" w14:textId="77777777" w:rsidR="001A75DB" w:rsidRDefault="001A75DB" w:rsidP="001A75DB">
      <w:pPr>
        <w:pStyle w:val="Default"/>
      </w:pPr>
      <w:r>
        <w:lastRenderedPageBreak/>
        <w:t>Verginija Maziliauskienė</w:t>
      </w:r>
    </w:p>
    <w:sectPr w:rsidR="001A75DB" w:rsidSect="00EA5B4C">
      <w:pgSz w:w="11906" w:h="16838"/>
      <w:pgMar w:top="1134" w:right="566"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10022FF" w:usb1="C000E47F" w:usb2="00000029" w:usb3="00000000" w:csb0="000001DF" w:csb1="00000000"/>
  </w:font>
  <w:font w:name="Calibri Light">
    <w:altName w:val="Arial"/>
    <w:charset w:val="BA"/>
    <w:family w:val="swiss"/>
    <w:pitch w:val="variable"/>
    <w:sig w:usb0="00000000"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B050AE"/>
    <w:multiLevelType w:val="hybridMultilevel"/>
    <w:tmpl w:val="61A80414"/>
    <w:lvl w:ilvl="0" w:tplc="A77A5D6E">
      <w:start w:val="1"/>
      <w:numFmt w:val="decimal"/>
      <w:lvlText w:val="%1."/>
      <w:lvlJc w:val="left"/>
      <w:pPr>
        <w:ind w:left="720" w:hanging="360"/>
      </w:pPr>
      <w:rPr>
        <w:b/>
        <w:sz w:val="23"/>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5DB"/>
    <w:rsid w:val="00033BC5"/>
    <w:rsid w:val="00035694"/>
    <w:rsid w:val="00066668"/>
    <w:rsid w:val="000760D0"/>
    <w:rsid w:val="00094A44"/>
    <w:rsid w:val="000A00CD"/>
    <w:rsid w:val="000A3FCF"/>
    <w:rsid w:val="000D64E2"/>
    <w:rsid w:val="00111EC3"/>
    <w:rsid w:val="00144C5D"/>
    <w:rsid w:val="001A75DB"/>
    <w:rsid w:val="001C3482"/>
    <w:rsid w:val="001E3810"/>
    <w:rsid w:val="001E569A"/>
    <w:rsid w:val="002B15FD"/>
    <w:rsid w:val="002F5327"/>
    <w:rsid w:val="002F76C0"/>
    <w:rsid w:val="00302CB9"/>
    <w:rsid w:val="00376956"/>
    <w:rsid w:val="003A5C08"/>
    <w:rsid w:val="003D0A59"/>
    <w:rsid w:val="004008A6"/>
    <w:rsid w:val="00401053"/>
    <w:rsid w:val="00410A29"/>
    <w:rsid w:val="0045111B"/>
    <w:rsid w:val="00467D12"/>
    <w:rsid w:val="004A7325"/>
    <w:rsid w:val="004C2150"/>
    <w:rsid w:val="004D12D8"/>
    <w:rsid w:val="00516C4D"/>
    <w:rsid w:val="00516EA9"/>
    <w:rsid w:val="005265E9"/>
    <w:rsid w:val="00564D90"/>
    <w:rsid w:val="00575B3E"/>
    <w:rsid w:val="005D1FBF"/>
    <w:rsid w:val="005F56C6"/>
    <w:rsid w:val="005F680D"/>
    <w:rsid w:val="005F6E91"/>
    <w:rsid w:val="0062592B"/>
    <w:rsid w:val="00670B5A"/>
    <w:rsid w:val="006A508D"/>
    <w:rsid w:val="006D4434"/>
    <w:rsid w:val="006F5BFF"/>
    <w:rsid w:val="00704B33"/>
    <w:rsid w:val="00857DB8"/>
    <w:rsid w:val="008B48F9"/>
    <w:rsid w:val="008D4972"/>
    <w:rsid w:val="00907285"/>
    <w:rsid w:val="0091124D"/>
    <w:rsid w:val="00916D1F"/>
    <w:rsid w:val="00982088"/>
    <w:rsid w:val="00996861"/>
    <w:rsid w:val="00996DF2"/>
    <w:rsid w:val="00997273"/>
    <w:rsid w:val="009B2F79"/>
    <w:rsid w:val="009C0AFF"/>
    <w:rsid w:val="009D2B3D"/>
    <w:rsid w:val="009D55E4"/>
    <w:rsid w:val="00A62B7F"/>
    <w:rsid w:val="00A650A9"/>
    <w:rsid w:val="00A908B3"/>
    <w:rsid w:val="00AC492C"/>
    <w:rsid w:val="00B30C06"/>
    <w:rsid w:val="00BD3CF3"/>
    <w:rsid w:val="00BF5F54"/>
    <w:rsid w:val="00C34228"/>
    <w:rsid w:val="00C35B39"/>
    <w:rsid w:val="00C56FD1"/>
    <w:rsid w:val="00C834FE"/>
    <w:rsid w:val="00CD3AEF"/>
    <w:rsid w:val="00D42F59"/>
    <w:rsid w:val="00D50D65"/>
    <w:rsid w:val="00D611E1"/>
    <w:rsid w:val="00D66B3C"/>
    <w:rsid w:val="00D74622"/>
    <w:rsid w:val="00D87F83"/>
    <w:rsid w:val="00DC45F6"/>
    <w:rsid w:val="00DD62F5"/>
    <w:rsid w:val="00DF6081"/>
    <w:rsid w:val="00E3370C"/>
    <w:rsid w:val="00E527BA"/>
    <w:rsid w:val="00EA5B4C"/>
    <w:rsid w:val="00EB23B6"/>
    <w:rsid w:val="00F612EA"/>
    <w:rsid w:val="00FC7DCF"/>
    <w:rsid w:val="00FE31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F1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A75DB"/>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qFormat/>
    <w:rsid w:val="001A75DB"/>
    <w:pPr>
      <w:keepNext/>
      <w:jc w:val="both"/>
      <w:outlineLvl w:val="0"/>
    </w:pPr>
    <w:rPr>
      <w:rFonts w:ascii="TimesLT" w:hAnsi="TimesLT"/>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A75DB"/>
    <w:rPr>
      <w:rFonts w:ascii="TimesLT" w:eastAsia="Times New Roman" w:hAnsi="TimesLT" w:cs="Times New Roman"/>
      <w:b/>
      <w:kern w:val="0"/>
      <w:sz w:val="24"/>
      <w:szCs w:val="20"/>
      <w14:ligatures w14:val="none"/>
    </w:rPr>
  </w:style>
  <w:style w:type="character" w:styleId="Hipersaitas">
    <w:name w:val="Hyperlink"/>
    <w:semiHidden/>
    <w:unhideWhenUsed/>
    <w:rsid w:val="001A75DB"/>
    <w:rPr>
      <w:strike w:val="0"/>
      <w:dstrike w:val="0"/>
      <w:color w:val="auto"/>
      <w:u w:val="none"/>
      <w:effect w:val="none"/>
    </w:rPr>
  </w:style>
  <w:style w:type="character" w:styleId="Perirtashipersaitas">
    <w:name w:val="FollowedHyperlink"/>
    <w:basedOn w:val="Numatytasispastraiposriftas"/>
    <w:uiPriority w:val="99"/>
    <w:semiHidden/>
    <w:unhideWhenUsed/>
    <w:rsid w:val="001A75DB"/>
    <w:rPr>
      <w:color w:val="954F72" w:themeColor="followedHyperlink"/>
      <w:u w:val="single"/>
    </w:rPr>
  </w:style>
  <w:style w:type="paragraph" w:customStyle="1" w:styleId="msonormal0">
    <w:name w:val="msonormal"/>
    <w:basedOn w:val="prastasis"/>
    <w:rsid w:val="001A75DB"/>
    <w:pPr>
      <w:spacing w:before="100" w:beforeAutospacing="1" w:after="100" w:afterAutospacing="1"/>
    </w:pPr>
    <w:rPr>
      <w:rFonts w:eastAsia="Calibri"/>
      <w:szCs w:val="24"/>
      <w:lang w:eastAsia="lt-LT"/>
    </w:rPr>
  </w:style>
  <w:style w:type="paragraph" w:styleId="prastasistinklapis">
    <w:name w:val="Normal (Web)"/>
    <w:basedOn w:val="prastasis"/>
    <w:semiHidden/>
    <w:unhideWhenUsed/>
    <w:rsid w:val="001A75DB"/>
    <w:pPr>
      <w:spacing w:before="100" w:beforeAutospacing="1" w:after="100" w:afterAutospacing="1"/>
    </w:pPr>
    <w:rPr>
      <w:rFonts w:eastAsia="Calibri"/>
      <w:szCs w:val="24"/>
      <w:lang w:eastAsia="lt-LT"/>
    </w:rPr>
  </w:style>
  <w:style w:type="paragraph" w:styleId="Puslapioinaostekstas">
    <w:name w:val="footnote text"/>
    <w:basedOn w:val="prastasis"/>
    <w:link w:val="PuslapioinaostekstasDiagrama"/>
    <w:uiPriority w:val="99"/>
    <w:semiHidden/>
    <w:unhideWhenUsed/>
    <w:rsid w:val="001A75DB"/>
    <w:pPr>
      <w:suppressAutoHyphens/>
    </w:pPr>
    <w:rPr>
      <w:sz w:val="20"/>
      <w:lang w:eastAsia="zh-CN"/>
    </w:rPr>
  </w:style>
  <w:style w:type="character" w:customStyle="1" w:styleId="PuslapioinaostekstasDiagrama">
    <w:name w:val="Puslapio išnašos tekstas Diagrama"/>
    <w:basedOn w:val="Numatytasispastraiposriftas"/>
    <w:link w:val="Puslapioinaostekstas"/>
    <w:uiPriority w:val="99"/>
    <w:semiHidden/>
    <w:rsid w:val="001A75DB"/>
    <w:rPr>
      <w:rFonts w:ascii="Times New Roman" w:eastAsia="Times New Roman" w:hAnsi="Times New Roman" w:cs="Times New Roman"/>
      <w:kern w:val="0"/>
      <w:sz w:val="20"/>
      <w:szCs w:val="20"/>
      <w:lang w:eastAsia="zh-CN"/>
      <w14:ligatures w14:val="none"/>
    </w:rPr>
  </w:style>
  <w:style w:type="paragraph" w:styleId="Komentarotekstas">
    <w:name w:val="annotation text"/>
    <w:basedOn w:val="prastasis"/>
    <w:link w:val="KomentarotekstasDiagrama"/>
    <w:uiPriority w:val="99"/>
    <w:unhideWhenUsed/>
    <w:rsid w:val="001A75DB"/>
    <w:rPr>
      <w:sz w:val="20"/>
    </w:rPr>
  </w:style>
  <w:style w:type="character" w:customStyle="1" w:styleId="KomentarotekstasDiagrama">
    <w:name w:val="Komentaro tekstas Diagrama"/>
    <w:basedOn w:val="Numatytasispastraiposriftas"/>
    <w:link w:val="Komentarotekstas"/>
    <w:uiPriority w:val="99"/>
    <w:rsid w:val="001A75DB"/>
    <w:rPr>
      <w:rFonts w:ascii="Times New Roman" w:eastAsia="Times New Roman" w:hAnsi="Times New Roman" w:cs="Times New Roman"/>
      <w:kern w:val="0"/>
      <w:sz w:val="20"/>
      <w:szCs w:val="20"/>
      <w14:ligatures w14:val="none"/>
    </w:rPr>
  </w:style>
  <w:style w:type="paragraph" w:styleId="Antrats">
    <w:name w:val="header"/>
    <w:basedOn w:val="prastasis"/>
    <w:link w:val="AntratsDiagrama"/>
    <w:uiPriority w:val="99"/>
    <w:semiHidden/>
    <w:unhideWhenUsed/>
    <w:rsid w:val="001A75DB"/>
    <w:pPr>
      <w:tabs>
        <w:tab w:val="center" w:pos="4819"/>
        <w:tab w:val="right" w:pos="9638"/>
      </w:tabs>
    </w:pPr>
  </w:style>
  <w:style w:type="character" w:customStyle="1" w:styleId="AntratsDiagrama">
    <w:name w:val="Antraštės Diagrama"/>
    <w:basedOn w:val="Numatytasispastraiposriftas"/>
    <w:link w:val="Antrats"/>
    <w:uiPriority w:val="99"/>
    <w:semiHidden/>
    <w:rsid w:val="001A75DB"/>
    <w:rPr>
      <w:rFonts w:ascii="Times New Roman" w:eastAsia="Times New Roman" w:hAnsi="Times New Roman" w:cs="Times New Roman"/>
      <w:kern w:val="0"/>
      <w:sz w:val="24"/>
      <w:szCs w:val="20"/>
      <w14:ligatures w14:val="none"/>
    </w:rPr>
  </w:style>
  <w:style w:type="paragraph" w:styleId="Porat">
    <w:name w:val="footer"/>
    <w:basedOn w:val="prastasis"/>
    <w:link w:val="PoratDiagrama"/>
    <w:semiHidden/>
    <w:unhideWhenUsed/>
    <w:rsid w:val="001A75DB"/>
    <w:pPr>
      <w:tabs>
        <w:tab w:val="center" w:pos="4819"/>
        <w:tab w:val="right" w:pos="9638"/>
      </w:tabs>
    </w:pPr>
  </w:style>
  <w:style w:type="character" w:customStyle="1" w:styleId="PoratDiagrama">
    <w:name w:val="Poraštė Diagrama"/>
    <w:basedOn w:val="Numatytasispastraiposriftas"/>
    <w:link w:val="Porat"/>
    <w:semiHidden/>
    <w:rsid w:val="001A75DB"/>
    <w:rPr>
      <w:rFonts w:ascii="Times New Roman" w:eastAsia="Times New Roman" w:hAnsi="Times New Roman" w:cs="Times New Roman"/>
      <w:kern w:val="0"/>
      <w:sz w:val="24"/>
      <w:szCs w:val="20"/>
      <w14:ligatures w14:val="none"/>
    </w:rPr>
  </w:style>
  <w:style w:type="paragraph" w:styleId="Dokumentoinaostekstas">
    <w:name w:val="endnote text"/>
    <w:basedOn w:val="prastasis"/>
    <w:link w:val="DokumentoinaostekstasDiagrama"/>
    <w:uiPriority w:val="99"/>
    <w:semiHidden/>
    <w:unhideWhenUsed/>
    <w:rsid w:val="001A75DB"/>
    <w:rPr>
      <w:sz w:val="20"/>
    </w:rPr>
  </w:style>
  <w:style w:type="character" w:customStyle="1" w:styleId="DokumentoinaostekstasDiagrama">
    <w:name w:val="Dokumento išnašos tekstas Diagrama"/>
    <w:basedOn w:val="Numatytasispastraiposriftas"/>
    <w:link w:val="Dokumentoinaostekstas"/>
    <w:uiPriority w:val="99"/>
    <w:semiHidden/>
    <w:rsid w:val="001A75DB"/>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1A75DB"/>
    <w:rPr>
      <w:b/>
      <w:bCs/>
    </w:rPr>
  </w:style>
  <w:style w:type="character" w:customStyle="1" w:styleId="KomentarotemaDiagrama">
    <w:name w:val="Komentaro tema Diagrama"/>
    <w:basedOn w:val="KomentarotekstasDiagrama"/>
    <w:link w:val="Komentarotema"/>
    <w:uiPriority w:val="99"/>
    <w:semiHidden/>
    <w:rsid w:val="001A75DB"/>
    <w:rPr>
      <w:rFonts w:ascii="Times New Roman" w:eastAsia="Times New Roman" w:hAnsi="Times New Roman" w:cs="Times New Roman"/>
      <w:b/>
      <w:bCs/>
      <w:kern w:val="0"/>
      <w:sz w:val="20"/>
      <w:szCs w:val="20"/>
      <w14:ligatures w14:val="none"/>
    </w:rPr>
  </w:style>
  <w:style w:type="paragraph" w:styleId="Debesliotekstas">
    <w:name w:val="Balloon Text"/>
    <w:basedOn w:val="prastasis"/>
    <w:link w:val="DebesliotekstasDiagrama"/>
    <w:uiPriority w:val="99"/>
    <w:semiHidden/>
    <w:unhideWhenUsed/>
    <w:rsid w:val="001A75D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A75DB"/>
    <w:rPr>
      <w:rFonts w:ascii="Segoe UI" w:eastAsia="Times New Roman" w:hAnsi="Segoe UI" w:cs="Segoe UI"/>
      <w:kern w:val="0"/>
      <w:sz w:val="18"/>
      <w:szCs w:val="18"/>
      <w14:ligatures w14:val="none"/>
    </w:rPr>
  </w:style>
  <w:style w:type="paragraph" w:styleId="Sraopastraipa">
    <w:name w:val="List Paragraph"/>
    <w:basedOn w:val="prastasis"/>
    <w:uiPriority w:val="34"/>
    <w:qFormat/>
    <w:rsid w:val="001A75DB"/>
    <w:pPr>
      <w:ind w:left="720"/>
      <w:contextualSpacing/>
    </w:pPr>
  </w:style>
  <w:style w:type="paragraph" w:customStyle="1" w:styleId="Default">
    <w:name w:val="Default"/>
    <w:rsid w:val="001A75DB"/>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styleId="Puslapioinaosnuoroda">
    <w:name w:val="footnote reference"/>
    <w:basedOn w:val="Numatytasispastraiposriftas"/>
    <w:uiPriority w:val="99"/>
    <w:semiHidden/>
    <w:unhideWhenUsed/>
    <w:rsid w:val="001A75DB"/>
    <w:rPr>
      <w:vertAlign w:val="superscript"/>
    </w:rPr>
  </w:style>
  <w:style w:type="character" w:styleId="Komentaronuoroda">
    <w:name w:val="annotation reference"/>
    <w:basedOn w:val="Numatytasispastraiposriftas"/>
    <w:uiPriority w:val="99"/>
    <w:semiHidden/>
    <w:unhideWhenUsed/>
    <w:rsid w:val="001A75DB"/>
    <w:rPr>
      <w:sz w:val="16"/>
      <w:szCs w:val="16"/>
    </w:rPr>
  </w:style>
  <w:style w:type="character" w:styleId="Dokumentoinaosnumeris">
    <w:name w:val="endnote reference"/>
    <w:basedOn w:val="Numatytasispastraiposriftas"/>
    <w:uiPriority w:val="99"/>
    <w:semiHidden/>
    <w:unhideWhenUsed/>
    <w:rsid w:val="001A75DB"/>
    <w:rPr>
      <w:vertAlign w:val="superscript"/>
    </w:rPr>
  </w:style>
  <w:style w:type="table" w:styleId="Lentelstinklelis">
    <w:name w:val="Table Grid"/>
    <w:basedOn w:val="prastojilentel"/>
    <w:uiPriority w:val="39"/>
    <w:rsid w:val="001A75DB"/>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A75DB"/>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qFormat/>
    <w:rsid w:val="001A75DB"/>
    <w:pPr>
      <w:keepNext/>
      <w:jc w:val="both"/>
      <w:outlineLvl w:val="0"/>
    </w:pPr>
    <w:rPr>
      <w:rFonts w:ascii="TimesLT" w:hAnsi="TimesLT"/>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A75DB"/>
    <w:rPr>
      <w:rFonts w:ascii="TimesLT" w:eastAsia="Times New Roman" w:hAnsi="TimesLT" w:cs="Times New Roman"/>
      <w:b/>
      <w:kern w:val="0"/>
      <w:sz w:val="24"/>
      <w:szCs w:val="20"/>
      <w14:ligatures w14:val="none"/>
    </w:rPr>
  </w:style>
  <w:style w:type="character" w:styleId="Hipersaitas">
    <w:name w:val="Hyperlink"/>
    <w:semiHidden/>
    <w:unhideWhenUsed/>
    <w:rsid w:val="001A75DB"/>
    <w:rPr>
      <w:strike w:val="0"/>
      <w:dstrike w:val="0"/>
      <w:color w:val="auto"/>
      <w:u w:val="none"/>
      <w:effect w:val="none"/>
    </w:rPr>
  </w:style>
  <w:style w:type="character" w:styleId="Perirtashipersaitas">
    <w:name w:val="FollowedHyperlink"/>
    <w:basedOn w:val="Numatytasispastraiposriftas"/>
    <w:uiPriority w:val="99"/>
    <w:semiHidden/>
    <w:unhideWhenUsed/>
    <w:rsid w:val="001A75DB"/>
    <w:rPr>
      <w:color w:val="954F72" w:themeColor="followedHyperlink"/>
      <w:u w:val="single"/>
    </w:rPr>
  </w:style>
  <w:style w:type="paragraph" w:customStyle="1" w:styleId="msonormal0">
    <w:name w:val="msonormal"/>
    <w:basedOn w:val="prastasis"/>
    <w:rsid w:val="001A75DB"/>
    <w:pPr>
      <w:spacing w:before="100" w:beforeAutospacing="1" w:after="100" w:afterAutospacing="1"/>
    </w:pPr>
    <w:rPr>
      <w:rFonts w:eastAsia="Calibri"/>
      <w:szCs w:val="24"/>
      <w:lang w:eastAsia="lt-LT"/>
    </w:rPr>
  </w:style>
  <w:style w:type="paragraph" w:styleId="prastasistinklapis">
    <w:name w:val="Normal (Web)"/>
    <w:basedOn w:val="prastasis"/>
    <w:semiHidden/>
    <w:unhideWhenUsed/>
    <w:rsid w:val="001A75DB"/>
    <w:pPr>
      <w:spacing w:before="100" w:beforeAutospacing="1" w:after="100" w:afterAutospacing="1"/>
    </w:pPr>
    <w:rPr>
      <w:rFonts w:eastAsia="Calibri"/>
      <w:szCs w:val="24"/>
      <w:lang w:eastAsia="lt-LT"/>
    </w:rPr>
  </w:style>
  <w:style w:type="paragraph" w:styleId="Puslapioinaostekstas">
    <w:name w:val="footnote text"/>
    <w:basedOn w:val="prastasis"/>
    <w:link w:val="PuslapioinaostekstasDiagrama"/>
    <w:uiPriority w:val="99"/>
    <w:semiHidden/>
    <w:unhideWhenUsed/>
    <w:rsid w:val="001A75DB"/>
    <w:pPr>
      <w:suppressAutoHyphens/>
    </w:pPr>
    <w:rPr>
      <w:sz w:val="20"/>
      <w:lang w:eastAsia="zh-CN"/>
    </w:rPr>
  </w:style>
  <w:style w:type="character" w:customStyle="1" w:styleId="PuslapioinaostekstasDiagrama">
    <w:name w:val="Puslapio išnašos tekstas Diagrama"/>
    <w:basedOn w:val="Numatytasispastraiposriftas"/>
    <w:link w:val="Puslapioinaostekstas"/>
    <w:uiPriority w:val="99"/>
    <w:semiHidden/>
    <w:rsid w:val="001A75DB"/>
    <w:rPr>
      <w:rFonts w:ascii="Times New Roman" w:eastAsia="Times New Roman" w:hAnsi="Times New Roman" w:cs="Times New Roman"/>
      <w:kern w:val="0"/>
      <w:sz w:val="20"/>
      <w:szCs w:val="20"/>
      <w:lang w:eastAsia="zh-CN"/>
      <w14:ligatures w14:val="none"/>
    </w:rPr>
  </w:style>
  <w:style w:type="paragraph" w:styleId="Komentarotekstas">
    <w:name w:val="annotation text"/>
    <w:basedOn w:val="prastasis"/>
    <w:link w:val="KomentarotekstasDiagrama"/>
    <w:uiPriority w:val="99"/>
    <w:unhideWhenUsed/>
    <w:rsid w:val="001A75DB"/>
    <w:rPr>
      <w:sz w:val="20"/>
    </w:rPr>
  </w:style>
  <w:style w:type="character" w:customStyle="1" w:styleId="KomentarotekstasDiagrama">
    <w:name w:val="Komentaro tekstas Diagrama"/>
    <w:basedOn w:val="Numatytasispastraiposriftas"/>
    <w:link w:val="Komentarotekstas"/>
    <w:uiPriority w:val="99"/>
    <w:rsid w:val="001A75DB"/>
    <w:rPr>
      <w:rFonts w:ascii="Times New Roman" w:eastAsia="Times New Roman" w:hAnsi="Times New Roman" w:cs="Times New Roman"/>
      <w:kern w:val="0"/>
      <w:sz w:val="20"/>
      <w:szCs w:val="20"/>
      <w14:ligatures w14:val="none"/>
    </w:rPr>
  </w:style>
  <w:style w:type="paragraph" w:styleId="Antrats">
    <w:name w:val="header"/>
    <w:basedOn w:val="prastasis"/>
    <w:link w:val="AntratsDiagrama"/>
    <w:uiPriority w:val="99"/>
    <w:semiHidden/>
    <w:unhideWhenUsed/>
    <w:rsid w:val="001A75DB"/>
    <w:pPr>
      <w:tabs>
        <w:tab w:val="center" w:pos="4819"/>
        <w:tab w:val="right" w:pos="9638"/>
      </w:tabs>
    </w:pPr>
  </w:style>
  <w:style w:type="character" w:customStyle="1" w:styleId="AntratsDiagrama">
    <w:name w:val="Antraštės Diagrama"/>
    <w:basedOn w:val="Numatytasispastraiposriftas"/>
    <w:link w:val="Antrats"/>
    <w:uiPriority w:val="99"/>
    <w:semiHidden/>
    <w:rsid w:val="001A75DB"/>
    <w:rPr>
      <w:rFonts w:ascii="Times New Roman" w:eastAsia="Times New Roman" w:hAnsi="Times New Roman" w:cs="Times New Roman"/>
      <w:kern w:val="0"/>
      <w:sz w:val="24"/>
      <w:szCs w:val="20"/>
      <w14:ligatures w14:val="none"/>
    </w:rPr>
  </w:style>
  <w:style w:type="paragraph" w:styleId="Porat">
    <w:name w:val="footer"/>
    <w:basedOn w:val="prastasis"/>
    <w:link w:val="PoratDiagrama"/>
    <w:semiHidden/>
    <w:unhideWhenUsed/>
    <w:rsid w:val="001A75DB"/>
    <w:pPr>
      <w:tabs>
        <w:tab w:val="center" w:pos="4819"/>
        <w:tab w:val="right" w:pos="9638"/>
      </w:tabs>
    </w:pPr>
  </w:style>
  <w:style w:type="character" w:customStyle="1" w:styleId="PoratDiagrama">
    <w:name w:val="Poraštė Diagrama"/>
    <w:basedOn w:val="Numatytasispastraiposriftas"/>
    <w:link w:val="Porat"/>
    <w:semiHidden/>
    <w:rsid w:val="001A75DB"/>
    <w:rPr>
      <w:rFonts w:ascii="Times New Roman" w:eastAsia="Times New Roman" w:hAnsi="Times New Roman" w:cs="Times New Roman"/>
      <w:kern w:val="0"/>
      <w:sz w:val="24"/>
      <w:szCs w:val="20"/>
      <w14:ligatures w14:val="none"/>
    </w:rPr>
  </w:style>
  <w:style w:type="paragraph" w:styleId="Dokumentoinaostekstas">
    <w:name w:val="endnote text"/>
    <w:basedOn w:val="prastasis"/>
    <w:link w:val="DokumentoinaostekstasDiagrama"/>
    <w:uiPriority w:val="99"/>
    <w:semiHidden/>
    <w:unhideWhenUsed/>
    <w:rsid w:val="001A75DB"/>
    <w:rPr>
      <w:sz w:val="20"/>
    </w:rPr>
  </w:style>
  <w:style w:type="character" w:customStyle="1" w:styleId="DokumentoinaostekstasDiagrama">
    <w:name w:val="Dokumento išnašos tekstas Diagrama"/>
    <w:basedOn w:val="Numatytasispastraiposriftas"/>
    <w:link w:val="Dokumentoinaostekstas"/>
    <w:uiPriority w:val="99"/>
    <w:semiHidden/>
    <w:rsid w:val="001A75DB"/>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1A75DB"/>
    <w:rPr>
      <w:b/>
      <w:bCs/>
    </w:rPr>
  </w:style>
  <w:style w:type="character" w:customStyle="1" w:styleId="KomentarotemaDiagrama">
    <w:name w:val="Komentaro tema Diagrama"/>
    <w:basedOn w:val="KomentarotekstasDiagrama"/>
    <w:link w:val="Komentarotema"/>
    <w:uiPriority w:val="99"/>
    <w:semiHidden/>
    <w:rsid w:val="001A75DB"/>
    <w:rPr>
      <w:rFonts w:ascii="Times New Roman" w:eastAsia="Times New Roman" w:hAnsi="Times New Roman" w:cs="Times New Roman"/>
      <w:b/>
      <w:bCs/>
      <w:kern w:val="0"/>
      <w:sz w:val="20"/>
      <w:szCs w:val="20"/>
      <w14:ligatures w14:val="none"/>
    </w:rPr>
  </w:style>
  <w:style w:type="paragraph" w:styleId="Debesliotekstas">
    <w:name w:val="Balloon Text"/>
    <w:basedOn w:val="prastasis"/>
    <w:link w:val="DebesliotekstasDiagrama"/>
    <w:uiPriority w:val="99"/>
    <w:semiHidden/>
    <w:unhideWhenUsed/>
    <w:rsid w:val="001A75D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A75DB"/>
    <w:rPr>
      <w:rFonts w:ascii="Segoe UI" w:eastAsia="Times New Roman" w:hAnsi="Segoe UI" w:cs="Segoe UI"/>
      <w:kern w:val="0"/>
      <w:sz w:val="18"/>
      <w:szCs w:val="18"/>
      <w14:ligatures w14:val="none"/>
    </w:rPr>
  </w:style>
  <w:style w:type="paragraph" w:styleId="Sraopastraipa">
    <w:name w:val="List Paragraph"/>
    <w:basedOn w:val="prastasis"/>
    <w:uiPriority w:val="34"/>
    <w:qFormat/>
    <w:rsid w:val="001A75DB"/>
    <w:pPr>
      <w:ind w:left="720"/>
      <w:contextualSpacing/>
    </w:pPr>
  </w:style>
  <w:style w:type="paragraph" w:customStyle="1" w:styleId="Default">
    <w:name w:val="Default"/>
    <w:rsid w:val="001A75DB"/>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styleId="Puslapioinaosnuoroda">
    <w:name w:val="footnote reference"/>
    <w:basedOn w:val="Numatytasispastraiposriftas"/>
    <w:uiPriority w:val="99"/>
    <w:semiHidden/>
    <w:unhideWhenUsed/>
    <w:rsid w:val="001A75DB"/>
    <w:rPr>
      <w:vertAlign w:val="superscript"/>
    </w:rPr>
  </w:style>
  <w:style w:type="character" w:styleId="Komentaronuoroda">
    <w:name w:val="annotation reference"/>
    <w:basedOn w:val="Numatytasispastraiposriftas"/>
    <w:uiPriority w:val="99"/>
    <w:semiHidden/>
    <w:unhideWhenUsed/>
    <w:rsid w:val="001A75DB"/>
    <w:rPr>
      <w:sz w:val="16"/>
      <w:szCs w:val="16"/>
    </w:rPr>
  </w:style>
  <w:style w:type="character" w:styleId="Dokumentoinaosnumeris">
    <w:name w:val="endnote reference"/>
    <w:basedOn w:val="Numatytasispastraiposriftas"/>
    <w:uiPriority w:val="99"/>
    <w:semiHidden/>
    <w:unhideWhenUsed/>
    <w:rsid w:val="001A75DB"/>
    <w:rPr>
      <w:vertAlign w:val="superscript"/>
    </w:rPr>
  </w:style>
  <w:style w:type="table" w:styleId="Lentelstinklelis">
    <w:name w:val="Table Grid"/>
    <w:basedOn w:val="prastojilentel"/>
    <w:uiPriority w:val="39"/>
    <w:rsid w:val="001A75DB"/>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0571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3834</Words>
  <Characters>2186</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Verginija Maziliauskienė</dc:creator>
  <cp:lastModifiedBy>Comp</cp:lastModifiedBy>
  <cp:revision>2</cp:revision>
  <dcterms:created xsi:type="dcterms:W3CDTF">2025-05-21T10:36:00Z</dcterms:created>
  <dcterms:modified xsi:type="dcterms:W3CDTF">2025-05-21T10:36:00Z</dcterms:modified>
</cp:coreProperties>
</file>