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DB2D35" w:rsidRPr="00DB3CD9" w:rsidTr="005D1AAF">
        <w:trPr>
          <w:trHeight w:val="1055"/>
        </w:trPr>
        <w:tc>
          <w:tcPr>
            <w:tcW w:w="9639" w:type="dxa"/>
          </w:tcPr>
          <w:p w:rsidR="00DB2D35" w:rsidRPr="00DB3CD9" w:rsidRDefault="00E13438" w:rsidP="005D1AAF">
            <w:pPr>
              <w:overflowPunct w:val="0"/>
              <w:autoSpaceDE w:val="0"/>
              <w:autoSpaceDN w:val="0"/>
              <w:adjustRightInd w:val="0"/>
              <w:spacing w:line="240" w:lineRule="atLeast"/>
              <w:jc w:val="center"/>
              <w:rPr>
                <w:rFonts w:ascii="Times New Roman" w:hAnsi="Times New Roman"/>
                <w:color w:val="000000"/>
                <w:sz w:val="24"/>
                <w:szCs w:val="24"/>
              </w:rPr>
            </w:pPr>
            <w:r>
              <w:rPr>
                <w:rFonts w:ascii="Times New Roman" w:hAnsi="Times New Roman"/>
                <w:color w:val="000000"/>
                <w:sz w:val="24"/>
                <w:szCs w:val="24"/>
              </w:rPr>
              <w:t xml:space="preserve"> </w:t>
            </w:r>
            <w:r w:rsidR="00DB2D35">
              <w:rPr>
                <w:rFonts w:ascii="Times New Roman" w:hAnsi="Times New Roman"/>
                <w:noProof/>
                <w:sz w:val="24"/>
                <w:szCs w:val="24"/>
              </w:rPr>
              <w:drawing>
                <wp:inline distT="0" distB="0" distL="0" distR="0">
                  <wp:extent cx="421640" cy="53276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srcRect/>
                          <a:stretch>
                            <a:fillRect/>
                          </a:stretch>
                        </pic:blipFill>
                        <pic:spPr bwMode="auto">
                          <a:xfrm>
                            <a:off x="0" y="0"/>
                            <a:ext cx="421640" cy="532765"/>
                          </a:xfrm>
                          <a:prstGeom prst="rect">
                            <a:avLst/>
                          </a:prstGeom>
                          <a:noFill/>
                          <a:ln w="9525">
                            <a:noFill/>
                            <a:miter lim="800000"/>
                            <a:headEnd/>
                            <a:tailEnd/>
                          </a:ln>
                        </pic:spPr>
                      </pic:pic>
                    </a:graphicData>
                  </a:graphic>
                </wp:inline>
              </w:drawing>
            </w:r>
          </w:p>
        </w:tc>
      </w:tr>
      <w:tr w:rsidR="00DB2D35" w:rsidRPr="00DB3CD9" w:rsidTr="005D1AAF">
        <w:trPr>
          <w:trHeight w:val="1913"/>
        </w:trPr>
        <w:tc>
          <w:tcPr>
            <w:tcW w:w="9639" w:type="dxa"/>
          </w:tcPr>
          <w:p w:rsidR="00DB2D35" w:rsidRPr="00CB4550" w:rsidRDefault="00DB2D35" w:rsidP="005D1AAF">
            <w:pPr>
              <w:pStyle w:val="Antrat2"/>
              <w:rPr>
                <w:szCs w:val="24"/>
              </w:rPr>
            </w:pPr>
            <w:r w:rsidRPr="00CB4550">
              <w:rPr>
                <w:szCs w:val="24"/>
              </w:rPr>
              <w:t>Pagėgių savivaldybės taryba</w:t>
            </w:r>
          </w:p>
          <w:p w:rsidR="00DB2D35" w:rsidRPr="00DB3CD9" w:rsidRDefault="00DB2D35" w:rsidP="005D1AAF">
            <w:pPr>
              <w:overflowPunct w:val="0"/>
              <w:autoSpaceDE w:val="0"/>
              <w:autoSpaceDN w:val="0"/>
              <w:adjustRightInd w:val="0"/>
              <w:spacing w:before="120"/>
              <w:jc w:val="center"/>
              <w:rPr>
                <w:rFonts w:ascii="Times New Roman" w:hAnsi="Times New Roman"/>
                <w:b/>
                <w:bCs/>
                <w:caps/>
                <w:color w:val="000000"/>
                <w:sz w:val="24"/>
                <w:szCs w:val="24"/>
              </w:rPr>
            </w:pPr>
          </w:p>
          <w:p w:rsidR="00DB2D35" w:rsidRPr="00DB3CD9" w:rsidRDefault="00DB2D35" w:rsidP="005D1AAF">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DB2D35" w:rsidRPr="00DB3CD9" w:rsidRDefault="00DB2D35" w:rsidP="005D1AAF">
            <w:pPr>
              <w:overflowPunct w:val="0"/>
              <w:autoSpaceDE w:val="0"/>
              <w:autoSpaceDN w:val="0"/>
              <w:adjustRightInd w:val="0"/>
              <w:spacing w:after="0"/>
              <w:jc w:val="center"/>
              <w:rPr>
                <w:rFonts w:ascii="Times New Roman" w:hAnsi="Times New Roman"/>
                <w:b/>
                <w:bCs/>
                <w:caps/>
                <w:color w:val="000000"/>
                <w:sz w:val="24"/>
                <w:szCs w:val="24"/>
              </w:rPr>
            </w:pPr>
            <w:bookmarkStart w:id="0" w:name="_GoBack"/>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PAGĖGIŲ SAVIVALDYBĖS TARYBOS 2015 M. rugsėjo 9 D. SPRENDIMO</w:t>
            </w:r>
          </w:p>
          <w:p w:rsidR="00DB2D35" w:rsidRPr="00DB3CD9" w:rsidRDefault="00DB2D35" w:rsidP="005D1AAF">
            <w:pPr>
              <w:overflowPunct w:val="0"/>
              <w:autoSpaceDE w:val="0"/>
              <w:autoSpaceDN w:val="0"/>
              <w:adjustRightInd w:val="0"/>
              <w:spacing w:after="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 xml:space="preserve"> NR. T-156 „</w:t>
            </w: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parduodamų pagėgių savivaldybės būstų ir pagalbinio ūkio paskirties pastatų sąrašo patvirtinimo” PAkeitimo</w:t>
            </w:r>
            <w:bookmarkEnd w:id="0"/>
          </w:p>
        </w:tc>
      </w:tr>
      <w:tr w:rsidR="00DB2D35" w:rsidRPr="00DB3CD9" w:rsidTr="005D1AAF">
        <w:trPr>
          <w:trHeight w:val="703"/>
        </w:trPr>
        <w:tc>
          <w:tcPr>
            <w:tcW w:w="9639" w:type="dxa"/>
          </w:tcPr>
          <w:p w:rsidR="00DB2D35" w:rsidRPr="00CB4550" w:rsidRDefault="00DB2D35" w:rsidP="005D1AAF">
            <w:pPr>
              <w:pStyle w:val="Antrat2"/>
              <w:rPr>
                <w:b w:val="0"/>
                <w:bCs w:val="0"/>
                <w:caps w:val="0"/>
                <w:szCs w:val="24"/>
              </w:rPr>
            </w:pPr>
            <w:r w:rsidRPr="00CB4550">
              <w:rPr>
                <w:b w:val="0"/>
                <w:bCs w:val="0"/>
                <w:caps w:val="0"/>
                <w:szCs w:val="24"/>
              </w:rPr>
              <w:t>20</w:t>
            </w:r>
            <w:r>
              <w:rPr>
                <w:b w:val="0"/>
                <w:bCs w:val="0"/>
                <w:caps w:val="0"/>
                <w:szCs w:val="24"/>
              </w:rPr>
              <w:t>2</w:t>
            </w:r>
            <w:r w:rsidR="0009763B">
              <w:rPr>
                <w:b w:val="0"/>
                <w:bCs w:val="0"/>
                <w:caps w:val="0"/>
                <w:szCs w:val="24"/>
              </w:rPr>
              <w:t>6</w:t>
            </w:r>
            <w:r w:rsidRPr="00CB4550">
              <w:rPr>
                <w:b w:val="0"/>
                <w:bCs w:val="0"/>
                <w:caps w:val="0"/>
                <w:szCs w:val="24"/>
              </w:rPr>
              <w:t xml:space="preserve"> m. </w:t>
            </w:r>
            <w:r w:rsidR="008A784E">
              <w:rPr>
                <w:b w:val="0"/>
                <w:bCs w:val="0"/>
                <w:caps w:val="0"/>
                <w:szCs w:val="24"/>
              </w:rPr>
              <w:t>birželio 18</w:t>
            </w:r>
            <w:r w:rsidRPr="00CB4550">
              <w:rPr>
                <w:b w:val="0"/>
                <w:bCs w:val="0"/>
                <w:caps w:val="0"/>
                <w:color w:val="FF0000"/>
                <w:szCs w:val="24"/>
              </w:rPr>
              <w:t xml:space="preserve"> </w:t>
            </w:r>
            <w:r w:rsidRPr="00CB4550">
              <w:rPr>
                <w:b w:val="0"/>
                <w:bCs w:val="0"/>
                <w:caps w:val="0"/>
                <w:szCs w:val="24"/>
              </w:rPr>
              <w:t xml:space="preserve">d. </w:t>
            </w:r>
            <w:r w:rsidR="008A784E">
              <w:rPr>
                <w:b w:val="0"/>
                <w:bCs w:val="0"/>
                <w:caps w:val="0"/>
                <w:szCs w:val="24"/>
              </w:rPr>
              <w:t>Nr. T-80</w:t>
            </w:r>
          </w:p>
          <w:p w:rsidR="00DB2D35" w:rsidRPr="00DB3CD9" w:rsidRDefault="00DB2D35" w:rsidP="005D1AAF">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DB2D35" w:rsidRPr="002B0091" w:rsidRDefault="00DB2D35" w:rsidP="004663C0">
      <w:pPr>
        <w:spacing w:after="0" w:line="240" w:lineRule="auto"/>
        <w:jc w:val="both"/>
        <w:rPr>
          <w:rFonts w:ascii="Times New Roman" w:hAnsi="Times New Roman"/>
          <w:sz w:val="24"/>
          <w:szCs w:val="24"/>
        </w:rPr>
      </w:pPr>
      <w:r>
        <w:rPr>
          <w:rFonts w:ascii="Times New Roman" w:hAnsi="Times New Roman"/>
          <w:sz w:val="24"/>
          <w:szCs w:val="24"/>
        </w:rPr>
        <w:tab/>
      </w:r>
      <w:r w:rsidRPr="002B0091">
        <w:rPr>
          <w:rFonts w:ascii="Times New Roman" w:hAnsi="Times New Roman"/>
          <w:sz w:val="24"/>
          <w:szCs w:val="24"/>
        </w:rPr>
        <w:t xml:space="preserve">Vadovaudamasi Lietuvos Respublikos vietos savivaldos įstatymo </w:t>
      </w:r>
      <w:r w:rsidRPr="004B7184">
        <w:rPr>
          <w:rFonts w:ascii="Times New Roman" w:hAnsi="Times New Roman"/>
          <w:sz w:val="24"/>
          <w:szCs w:val="24"/>
        </w:rPr>
        <w:t>6 straipsnio 15</w:t>
      </w:r>
      <w:r w:rsidR="00E13438">
        <w:rPr>
          <w:rFonts w:ascii="Times New Roman" w:hAnsi="Times New Roman"/>
          <w:sz w:val="24"/>
          <w:szCs w:val="24"/>
        </w:rPr>
        <w:t xml:space="preserve"> </w:t>
      </w:r>
      <w:r w:rsidRPr="004B7184">
        <w:rPr>
          <w:rFonts w:ascii="Times New Roman" w:hAnsi="Times New Roman"/>
          <w:sz w:val="24"/>
          <w:szCs w:val="24"/>
        </w:rPr>
        <w:t>punktu</w:t>
      </w:r>
      <w:r w:rsidRPr="002B0091">
        <w:rPr>
          <w:rFonts w:ascii="Times New Roman" w:hAnsi="Times New Roman"/>
          <w:sz w:val="24"/>
          <w:szCs w:val="24"/>
        </w:rPr>
        <w:t xml:space="preserve">, Lietuvos Respublikos Paramos būstui įsigyti ar išsinuomoti įstatymo 4 straipsnio 5 dalies </w:t>
      </w:r>
      <w:r w:rsidR="00E13438">
        <w:rPr>
          <w:rFonts w:ascii="Times New Roman" w:hAnsi="Times New Roman"/>
          <w:sz w:val="24"/>
          <w:szCs w:val="24"/>
        </w:rPr>
        <w:t xml:space="preserve">   </w:t>
      </w:r>
      <w:r w:rsidRPr="002B0091">
        <w:rPr>
          <w:rFonts w:ascii="Times New Roman" w:hAnsi="Times New Roman"/>
          <w:sz w:val="24"/>
          <w:szCs w:val="24"/>
        </w:rPr>
        <w:t>6 punktu, Pagėgių savivaldybės taryba</w:t>
      </w:r>
      <w:r w:rsidR="00E13438">
        <w:rPr>
          <w:rFonts w:ascii="Times New Roman" w:hAnsi="Times New Roman"/>
          <w:sz w:val="24"/>
          <w:szCs w:val="24"/>
        </w:rPr>
        <w:t xml:space="preserve"> </w:t>
      </w:r>
      <w:r w:rsidRPr="002B0091">
        <w:rPr>
          <w:rFonts w:ascii="Times New Roman" w:hAnsi="Times New Roman"/>
          <w:sz w:val="24"/>
          <w:szCs w:val="24"/>
        </w:rPr>
        <w:t xml:space="preserve"> n u s p r e n d ž i a:</w:t>
      </w:r>
    </w:p>
    <w:p w:rsidR="006E6A1F" w:rsidRPr="002B0091" w:rsidRDefault="00DB2D35" w:rsidP="004663C0">
      <w:pPr>
        <w:spacing w:after="0" w:line="240" w:lineRule="auto"/>
        <w:ind w:firstLine="360"/>
        <w:jc w:val="both"/>
        <w:rPr>
          <w:rFonts w:ascii="Times New Roman" w:hAnsi="Times New Roman"/>
          <w:sz w:val="24"/>
          <w:szCs w:val="24"/>
        </w:rPr>
      </w:pPr>
      <w:r>
        <w:rPr>
          <w:rFonts w:ascii="Times New Roman" w:hAnsi="Times New Roman"/>
          <w:sz w:val="24"/>
          <w:szCs w:val="24"/>
        </w:rPr>
        <w:tab/>
        <w:t xml:space="preserve">1. </w:t>
      </w:r>
      <w:r w:rsidR="004663C0">
        <w:rPr>
          <w:rFonts w:ascii="Times New Roman" w:hAnsi="Times New Roman"/>
          <w:sz w:val="24"/>
          <w:szCs w:val="24"/>
        </w:rPr>
        <w:t xml:space="preserve">Pakeisti </w:t>
      </w:r>
      <w:r w:rsidRPr="002B0091">
        <w:rPr>
          <w:rFonts w:ascii="Times New Roman" w:hAnsi="Times New Roman"/>
          <w:sz w:val="24"/>
          <w:szCs w:val="24"/>
        </w:rPr>
        <w:t>Parduodamų Pagėgių savivaldybės būstų ir pagalbinio ūkio paskirties pastatų sąrašą, patvirtintą Pagėgių savivaldybės tarybos 2015 m. rugsėjo 9 d. sprendimu Nr. T-156 „Dėl parduodamų Pagėgių savivaldybės būstų ir pagalbinio ūkio paskirties pa</w:t>
      </w:r>
      <w:r w:rsidR="004663C0">
        <w:rPr>
          <w:rFonts w:ascii="Times New Roman" w:hAnsi="Times New Roman"/>
          <w:sz w:val="24"/>
          <w:szCs w:val="24"/>
        </w:rPr>
        <w:t>statų sąrašo patvirtinimo“, papildant 30 eilute</w:t>
      </w:r>
      <w:r w:rsidRPr="002B009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482"/>
        <w:gridCol w:w="3078"/>
        <w:gridCol w:w="2736"/>
        <w:gridCol w:w="1611"/>
      </w:tblGrid>
      <w:tr w:rsidR="00DB2D35" w:rsidRPr="00DB3CD9" w:rsidTr="005D1AAF">
        <w:tc>
          <w:tcPr>
            <w:tcW w:w="678" w:type="dxa"/>
            <w:tcBorders>
              <w:bottom w:val="single" w:sz="4" w:space="0" w:color="auto"/>
            </w:tcBorders>
          </w:tcPr>
          <w:p w:rsidR="00DB2D35" w:rsidRPr="00DB3CD9" w:rsidRDefault="00DB2D35" w:rsidP="004663C0">
            <w:pPr>
              <w:spacing w:line="240" w:lineRule="auto"/>
              <w:jc w:val="center"/>
              <w:rPr>
                <w:rFonts w:ascii="Times New Roman" w:hAnsi="Times New Roman"/>
                <w:sz w:val="24"/>
                <w:szCs w:val="24"/>
              </w:rPr>
            </w:pPr>
            <w:r w:rsidRPr="00DB3CD9">
              <w:rPr>
                <w:rFonts w:ascii="Times New Roman" w:hAnsi="Times New Roman"/>
                <w:sz w:val="24"/>
                <w:szCs w:val="24"/>
              </w:rPr>
              <w:t>Eil. Nr.</w:t>
            </w:r>
          </w:p>
        </w:tc>
        <w:tc>
          <w:tcPr>
            <w:tcW w:w="1482" w:type="dxa"/>
          </w:tcPr>
          <w:p w:rsidR="00DB2D35" w:rsidRPr="00DB3CD9" w:rsidRDefault="00DB2D35" w:rsidP="004663C0">
            <w:pPr>
              <w:spacing w:line="240" w:lineRule="auto"/>
              <w:jc w:val="center"/>
              <w:rPr>
                <w:rFonts w:ascii="Times New Roman" w:hAnsi="Times New Roman"/>
                <w:sz w:val="24"/>
                <w:szCs w:val="24"/>
              </w:rPr>
            </w:pPr>
            <w:r w:rsidRPr="00DB3CD9">
              <w:rPr>
                <w:rFonts w:ascii="Times New Roman" w:hAnsi="Times New Roman"/>
                <w:sz w:val="24"/>
                <w:szCs w:val="24"/>
              </w:rPr>
              <w:t>Pavadinimas</w:t>
            </w:r>
          </w:p>
        </w:tc>
        <w:tc>
          <w:tcPr>
            <w:tcW w:w="3078" w:type="dxa"/>
          </w:tcPr>
          <w:p w:rsidR="00DB2D35" w:rsidRPr="00DB3CD9" w:rsidRDefault="00DB2D35" w:rsidP="004663C0">
            <w:pPr>
              <w:spacing w:line="240" w:lineRule="auto"/>
              <w:jc w:val="center"/>
              <w:rPr>
                <w:rFonts w:ascii="Times New Roman" w:hAnsi="Times New Roman"/>
                <w:sz w:val="24"/>
                <w:szCs w:val="24"/>
              </w:rPr>
            </w:pPr>
            <w:r w:rsidRPr="00DB3CD9">
              <w:rPr>
                <w:rFonts w:ascii="Times New Roman" w:hAnsi="Times New Roman"/>
                <w:sz w:val="24"/>
                <w:szCs w:val="24"/>
              </w:rPr>
              <w:t>Adresas</w:t>
            </w:r>
          </w:p>
        </w:tc>
        <w:tc>
          <w:tcPr>
            <w:tcW w:w="2736" w:type="dxa"/>
          </w:tcPr>
          <w:p w:rsidR="00DB2D35" w:rsidRPr="00DB3CD9" w:rsidRDefault="00DB2D35" w:rsidP="004663C0">
            <w:pPr>
              <w:spacing w:line="240" w:lineRule="auto"/>
              <w:jc w:val="center"/>
              <w:rPr>
                <w:rFonts w:ascii="Times New Roman" w:hAnsi="Times New Roman"/>
                <w:sz w:val="24"/>
                <w:szCs w:val="24"/>
              </w:rPr>
            </w:pPr>
            <w:r w:rsidRPr="00DB3CD9">
              <w:rPr>
                <w:rFonts w:ascii="Times New Roman" w:hAnsi="Times New Roman"/>
                <w:sz w:val="24"/>
                <w:szCs w:val="24"/>
              </w:rPr>
              <w:t>Unikalus Nr.</w:t>
            </w:r>
          </w:p>
        </w:tc>
        <w:tc>
          <w:tcPr>
            <w:tcW w:w="1611" w:type="dxa"/>
          </w:tcPr>
          <w:p w:rsidR="00DB2D35" w:rsidRPr="00DB3CD9" w:rsidRDefault="00F62C39" w:rsidP="004663C0">
            <w:pPr>
              <w:spacing w:line="240" w:lineRule="auto"/>
              <w:jc w:val="center"/>
              <w:rPr>
                <w:rFonts w:ascii="Times New Roman" w:hAnsi="Times New Roman"/>
                <w:sz w:val="24"/>
                <w:szCs w:val="24"/>
              </w:rPr>
            </w:pPr>
            <w:r>
              <w:rPr>
                <w:rFonts w:ascii="Times New Roman" w:hAnsi="Times New Roman"/>
                <w:sz w:val="24"/>
                <w:szCs w:val="24"/>
              </w:rPr>
              <w:t>Bendras (u</w:t>
            </w:r>
            <w:r w:rsidR="00DB2D35">
              <w:rPr>
                <w:rFonts w:ascii="Times New Roman" w:hAnsi="Times New Roman"/>
                <w:sz w:val="24"/>
                <w:szCs w:val="24"/>
              </w:rPr>
              <w:t>žstatytas</w:t>
            </w:r>
            <w:r>
              <w:rPr>
                <w:rFonts w:ascii="Times New Roman" w:hAnsi="Times New Roman"/>
                <w:sz w:val="24"/>
                <w:szCs w:val="24"/>
              </w:rPr>
              <w:t>)</w:t>
            </w:r>
            <w:r w:rsidR="00DB2D35" w:rsidRPr="00DB3CD9">
              <w:rPr>
                <w:rFonts w:ascii="Times New Roman" w:hAnsi="Times New Roman"/>
                <w:sz w:val="24"/>
                <w:szCs w:val="24"/>
              </w:rPr>
              <w:t xml:space="preserve"> plotas kv. m</w:t>
            </w:r>
          </w:p>
        </w:tc>
      </w:tr>
      <w:tr w:rsidR="00DB2D35" w:rsidRPr="00DB3CD9" w:rsidTr="005D1AAF">
        <w:trPr>
          <w:trHeight w:val="489"/>
        </w:trPr>
        <w:tc>
          <w:tcPr>
            <w:tcW w:w="678" w:type="dxa"/>
          </w:tcPr>
          <w:p w:rsidR="00DB2D35" w:rsidRPr="00DB3CD9" w:rsidRDefault="0009763B" w:rsidP="004663C0">
            <w:pPr>
              <w:spacing w:line="240" w:lineRule="auto"/>
              <w:jc w:val="center"/>
              <w:rPr>
                <w:rFonts w:ascii="Times New Roman" w:hAnsi="Times New Roman"/>
                <w:sz w:val="24"/>
                <w:szCs w:val="24"/>
              </w:rPr>
            </w:pPr>
            <w:r>
              <w:rPr>
                <w:rFonts w:ascii="Times New Roman" w:hAnsi="Times New Roman"/>
                <w:sz w:val="24"/>
                <w:szCs w:val="24"/>
              </w:rPr>
              <w:t>30</w:t>
            </w:r>
            <w:r w:rsidR="00DB2D35" w:rsidRPr="000D54A1">
              <w:rPr>
                <w:rFonts w:ascii="Times New Roman" w:hAnsi="Times New Roman"/>
                <w:sz w:val="24"/>
                <w:szCs w:val="24"/>
              </w:rPr>
              <w:t>.</w:t>
            </w:r>
          </w:p>
        </w:tc>
        <w:tc>
          <w:tcPr>
            <w:tcW w:w="1482" w:type="dxa"/>
          </w:tcPr>
          <w:p w:rsidR="00DB2D35" w:rsidRPr="00DB3CD9" w:rsidRDefault="00DB2D35" w:rsidP="004663C0">
            <w:pPr>
              <w:spacing w:line="240" w:lineRule="auto"/>
              <w:jc w:val="center"/>
              <w:rPr>
                <w:rFonts w:ascii="Times New Roman" w:hAnsi="Times New Roman"/>
                <w:sz w:val="24"/>
                <w:szCs w:val="24"/>
              </w:rPr>
            </w:pPr>
            <w:r>
              <w:rPr>
                <w:rFonts w:ascii="Times New Roman" w:hAnsi="Times New Roman"/>
                <w:sz w:val="24"/>
                <w:szCs w:val="24"/>
              </w:rPr>
              <w:t>Butas</w:t>
            </w:r>
          </w:p>
        </w:tc>
        <w:tc>
          <w:tcPr>
            <w:tcW w:w="3078" w:type="dxa"/>
          </w:tcPr>
          <w:p w:rsidR="00DB2D35" w:rsidRPr="00DB3CD9" w:rsidRDefault="0009763B" w:rsidP="004663C0">
            <w:pPr>
              <w:spacing w:line="240" w:lineRule="auto"/>
              <w:jc w:val="both"/>
              <w:rPr>
                <w:rFonts w:ascii="Times New Roman" w:hAnsi="Times New Roman"/>
                <w:sz w:val="24"/>
                <w:szCs w:val="24"/>
              </w:rPr>
            </w:pPr>
            <w:r>
              <w:rPr>
                <w:rFonts w:ascii="Times New Roman" w:hAnsi="Times New Roman"/>
                <w:sz w:val="24"/>
                <w:szCs w:val="24"/>
              </w:rPr>
              <w:t>Aušros</w:t>
            </w:r>
            <w:r w:rsidR="00DB2D35">
              <w:rPr>
                <w:rFonts w:ascii="Times New Roman" w:hAnsi="Times New Roman"/>
                <w:sz w:val="24"/>
                <w:szCs w:val="24"/>
              </w:rPr>
              <w:t xml:space="preserve"> g. </w:t>
            </w:r>
            <w:r>
              <w:rPr>
                <w:rFonts w:ascii="Times New Roman" w:hAnsi="Times New Roman"/>
                <w:sz w:val="24"/>
                <w:szCs w:val="24"/>
              </w:rPr>
              <w:t>9</w:t>
            </w:r>
            <w:r w:rsidR="00DB2D35">
              <w:rPr>
                <w:rFonts w:ascii="Times New Roman" w:hAnsi="Times New Roman"/>
                <w:sz w:val="24"/>
                <w:szCs w:val="24"/>
              </w:rPr>
              <w:t>-</w:t>
            </w:r>
            <w:r>
              <w:rPr>
                <w:rFonts w:ascii="Times New Roman" w:hAnsi="Times New Roman"/>
                <w:sz w:val="24"/>
                <w:szCs w:val="24"/>
              </w:rPr>
              <w:t>6</w:t>
            </w:r>
            <w:r w:rsidR="00DB2D35">
              <w:rPr>
                <w:rFonts w:ascii="Times New Roman" w:hAnsi="Times New Roman"/>
                <w:sz w:val="24"/>
                <w:szCs w:val="24"/>
              </w:rPr>
              <w:t>, Rukų k., Stoniškių sen., Pagėgių sav.</w:t>
            </w:r>
            <w:r w:rsidR="00DB2D35" w:rsidRPr="00DB3CD9">
              <w:rPr>
                <w:rFonts w:ascii="Times New Roman" w:hAnsi="Times New Roman"/>
                <w:sz w:val="24"/>
                <w:szCs w:val="24"/>
              </w:rPr>
              <w:t xml:space="preserve"> </w:t>
            </w:r>
          </w:p>
        </w:tc>
        <w:tc>
          <w:tcPr>
            <w:tcW w:w="2736" w:type="dxa"/>
          </w:tcPr>
          <w:p w:rsidR="00DB2D35" w:rsidRPr="00DB3CD9" w:rsidRDefault="0009763B" w:rsidP="004663C0">
            <w:pPr>
              <w:spacing w:line="240" w:lineRule="auto"/>
              <w:jc w:val="center"/>
              <w:rPr>
                <w:rFonts w:ascii="Times New Roman" w:hAnsi="Times New Roman"/>
                <w:sz w:val="24"/>
                <w:szCs w:val="24"/>
              </w:rPr>
            </w:pPr>
            <w:r>
              <w:rPr>
                <w:rFonts w:ascii="Times New Roman" w:hAnsi="Times New Roman"/>
                <w:sz w:val="24"/>
                <w:szCs w:val="24"/>
              </w:rPr>
              <w:t>8897-1006-9014:0004</w:t>
            </w:r>
          </w:p>
        </w:tc>
        <w:tc>
          <w:tcPr>
            <w:tcW w:w="1611" w:type="dxa"/>
          </w:tcPr>
          <w:p w:rsidR="00DB2D35" w:rsidRPr="00DB3CD9" w:rsidRDefault="0009763B" w:rsidP="004663C0">
            <w:pPr>
              <w:spacing w:line="240" w:lineRule="auto"/>
              <w:jc w:val="center"/>
              <w:rPr>
                <w:rFonts w:ascii="Times New Roman" w:hAnsi="Times New Roman"/>
                <w:sz w:val="24"/>
                <w:szCs w:val="24"/>
              </w:rPr>
            </w:pPr>
            <w:r>
              <w:rPr>
                <w:rFonts w:ascii="Times New Roman" w:hAnsi="Times New Roman"/>
                <w:sz w:val="24"/>
                <w:szCs w:val="24"/>
              </w:rPr>
              <w:t>5</w:t>
            </w:r>
            <w:r w:rsidR="00DB2D35">
              <w:rPr>
                <w:rFonts w:ascii="Times New Roman" w:hAnsi="Times New Roman"/>
                <w:sz w:val="24"/>
                <w:szCs w:val="24"/>
              </w:rPr>
              <w:t>2</w:t>
            </w:r>
            <w:r w:rsidR="00DB2D35" w:rsidRPr="00DB3CD9">
              <w:rPr>
                <w:rFonts w:ascii="Times New Roman" w:hAnsi="Times New Roman"/>
                <w:sz w:val="24"/>
                <w:szCs w:val="24"/>
              </w:rPr>
              <w:t>,</w:t>
            </w:r>
            <w:r>
              <w:rPr>
                <w:rFonts w:ascii="Times New Roman" w:hAnsi="Times New Roman"/>
                <w:sz w:val="24"/>
                <w:szCs w:val="24"/>
              </w:rPr>
              <w:t>71</w:t>
            </w:r>
          </w:p>
        </w:tc>
      </w:tr>
    </w:tbl>
    <w:p w:rsidR="00DB2D35" w:rsidRDefault="00DB2D35" w:rsidP="004663C0">
      <w:pPr>
        <w:spacing w:after="0" w:line="240" w:lineRule="auto"/>
        <w:ind w:firstLine="360"/>
        <w:jc w:val="both"/>
        <w:rPr>
          <w:rFonts w:ascii="Times New Roman" w:hAnsi="Times New Roman"/>
          <w:sz w:val="24"/>
          <w:szCs w:val="24"/>
        </w:rPr>
      </w:pPr>
      <w:r w:rsidRPr="002B0091">
        <w:rPr>
          <w:rFonts w:ascii="Times New Roman" w:hAnsi="Times New Roman"/>
          <w:sz w:val="24"/>
          <w:szCs w:val="24"/>
        </w:rPr>
        <w:t xml:space="preserve">                2. Sprendimą paskelbti Pagėgių savivaldybės interneto svetainėje  www.pagegiai.lt.</w:t>
      </w:r>
    </w:p>
    <w:p w:rsidR="002F5E54" w:rsidRDefault="00DB2D35" w:rsidP="004663C0">
      <w:pPr>
        <w:spacing w:after="0" w:line="240" w:lineRule="auto"/>
        <w:jc w:val="both"/>
        <w:rPr>
          <w:rFonts w:ascii="Times New Roman" w:hAnsi="Times New Roman"/>
          <w:sz w:val="24"/>
          <w:szCs w:val="24"/>
        </w:rPr>
      </w:pPr>
      <w:r>
        <w:rPr>
          <w:rFonts w:ascii="Times New Roman" w:hAnsi="Times New Roman"/>
          <w:sz w:val="24"/>
          <w:szCs w:val="24"/>
        </w:rPr>
        <w:tab/>
      </w:r>
      <w:r w:rsidR="002F5E54">
        <w:rPr>
          <w:rFonts w:ascii="Times New Roman" w:hAnsi="Times New Roman"/>
          <w:sz w:val="24"/>
          <w:szCs w:val="24"/>
        </w:rPr>
        <w:t xml:space="preserve">Šis sprendimas per vieną mėnesį nuo jo paskelbimo arba įteikimo dienos gali būti skundžiamas Lietuvos administracinių ginčų komisijos Klaipėdos apygardos skyriui (J. Janonio g. </w:t>
      </w:r>
      <w:r w:rsidR="002F5E54" w:rsidRPr="00A1088A">
        <w:rPr>
          <w:rFonts w:ascii="Times New Roman" w:hAnsi="Times New Roman"/>
          <w:sz w:val="24"/>
          <w:szCs w:val="24"/>
        </w:rPr>
        <w:t>24, 92251 Klaipėda) Lietuvos Respublikos ikiteisminio administracinių ginčų nagrinėjimo tvarkos</w:t>
      </w:r>
      <w:r w:rsidR="002F5E54">
        <w:rPr>
          <w:rFonts w:ascii="Times New Roman" w:hAnsi="Times New Roman"/>
          <w:sz w:val="24"/>
          <w:szCs w:val="24"/>
        </w:rPr>
        <w:t xml:space="preserve">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002F5E54" w:rsidRPr="006B39D8">
        <w:rPr>
          <w:rFonts w:ascii="Times New Roman" w:hAnsi="Times New Roman"/>
          <w:sz w:val="24"/>
          <w:szCs w:val="24"/>
        </w:rPr>
        <w:t>(</w:t>
      </w:r>
      <w:hyperlink r:id="rId5" w:history="1">
        <w:r w:rsidR="002F5E54" w:rsidRPr="006B39D8">
          <w:rPr>
            <w:rStyle w:val="Hipersaitas"/>
            <w:rFonts w:ascii="Times New Roman" w:hAnsi="Times New Roman"/>
            <w:sz w:val="24"/>
            <w:szCs w:val="24"/>
          </w:rPr>
          <w:t>https://e.teismas.lt</w:t>
        </w:r>
      </w:hyperlink>
      <w:r w:rsidR="002F5E54" w:rsidRPr="006B39D8">
        <w:rPr>
          <w:rFonts w:ascii="Times New Roman" w:hAnsi="Times New Roman"/>
          <w:sz w:val="24"/>
          <w:szCs w:val="24"/>
        </w:rPr>
        <w:t>)</w:t>
      </w:r>
      <w:r w:rsidR="002F5E54">
        <w:rPr>
          <w:rFonts w:ascii="Times New Roman" w:hAnsi="Times New Roman"/>
          <w:sz w:val="24"/>
          <w:szCs w:val="24"/>
        </w:rPr>
        <w:t xml:space="preserve"> Lietuvos Respublikos administracinių bylų teisenos įstatymo nustatyta tvarka.</w:t>
      </w:r>
    </w:p>
    <w:p w:rsidR="004663C0" w:rsidRDefault="004663C0" w:rsidP="004663C0">
      <w:pPr>
        <w:spacing w:after="0" w:line="240" w:lineRule="auto"/>
        <w:jc w:val="both"/>
        <w:rPr>
          <w:rFonts w:ascii="Times New Roman" w:hAnsi="Times New Roman"/>
          <w:sz w:val="24"/>
          <w:szCs w:val="24"/>
        </w:rPr>
      </w:pPr>
    </w:p>
    <w:p w:rsidR="008A784E" w:rsidRDefault="008A784E" w:rsidP="004663C0">
      <w:pPr>
        <w:spacing w:after="0" w:line="240" w:lineRule="auto"/>
        <w:jc w:val="both"/>
        <w:rPr>
          <w:rFonts w:ascii="Times New Roman" w:hAnsi="Times New Roman"/>
          <w:sz w:val="24"/>
          <w:szCs w:val="24"/>
          <w:lang w:val="pt-BR"/>
        </w:rPr>
      </w:pPr>
    </w:p>
    <w:p w:rsidR="00DB2D35" w:rsidRDefault="004663C0" w:rsidP="004663C0">
      <w:pPr>
        <w:spacing w:after="0" w:line="240" w:lineRule="auto"/>
        <w:jc w:val="both"/>
        <w:rPr>
          <w:rFonts w:ascii="Times New Roman" w:hAnsi="Times New Roman"/>
          <w:sz w:val="24"/>
          <w:szCs w:val="24"/>
        </w:rPr>
      </w:pPr>
      <w:r>
        <w:rPr>
          <w:rFonts w:ascii="Times New Roman" w:hAnsi="Times New Roman"/>
          <w:sz w:val="24"/>
          <w:szCs w:val="24"/>
          <w:lang w:val="pt-BR"/>
        </w:rPr>
        <w:t>S</w:t>
      </w:r>
      <w:r w:rsidR="00DB2D35">
        <w:rPr>
          <w:rFonts w:ascii="Times New Roman" w:hAnsi="Times New Roman"/>
          <w:sz w:val="24"/>
          <w:szCs w:val="24"/>
          <w:lang w:val="pt-BR"/>
        </w:rPr>
        <w:t>avivaldybės meras</w:t>
      </w:r>
      <w:r w:rsidR="00DB2D35">
        <w:rPr>
          <w:rFonts w:ascii="Times New Roman" w:hAnsi="Times New Roman"/>
          <w:sz w:val="24"/>
          <w:szCs w:val="24"/>
          <w:lang w:val="pt-BR"/>
        </w:rPr>
        <w:tab/>
        <w:t xml:space="preserve">                                                       </w:t>
      </w:r>
      <w:r>
        <w:rPr>
          <w:rFonts w:ascii="Times New Roman" w:hAnsi="Times New Roman"/>
          <w:sz w:val="24"/>
          <w:szCs w:val="24"/>
          <w:lang w:val="pt-BR"/>
        </w:rPr>
        <w:t xml:space="preserve">                      </w:t>
      </w:r>
      <w:r w:rsidR="00DB2D35">
        <w:rPr>
          <w:rFonts w:ascii="Times New Roman" w:hAnsi="Times New Roman"/>
          <w:sz w:val="24"/>
          <w:szCs w:val="24"/>
          <w:lang w:val="pt-BR"/>
        </w:rPr>
        <w:t>Vaidas Bendaravičius</w:t>
      </w:r>
    </w:p>
    <w:p w:rsidR="004663C0" w:rsidRDefault="004663C0" w:rsidP="004663C0">
      <w:pPr>
        <w:spacing w:after="0" w:line="240" w:lineRule="auto"/>
        <w:rPr>
          <w:rFonts w:ascii="Times New Roman" w:hAnsi="Times New Roman"/>
          <w:sz w:val="24"/>
          <w:szCs w:val="24"/>
        </w:rPr>
      </w:pPr>
    </w:p>
    <w:p w:rsidR="00BC0ABC" w:rsidRDefault="00BC0ABC" w:rsidP="008C29B7"/>
    <w:sectPr w:rsidR="00BC0ABC" w:rsidSect="004663C0">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DB2D35"/>
    <w:rsid w:val="00053C56"/>
    <w:rsid w:val="000622AD"/>
    <w:rsid w:val="0009763B"/>
    <w:rsid w:val="00157606"/>
    <w:rsid w:val="001F78DB"/>
    <w:rsid w:val="002F5E54"/>
    <w:rsid w:val="004663C0"/>
    <w:rsid w:val="004E4747"/>
    <w:rsid w:val="00532D19"/>
    <w:rsid w:val="00553A83"/>
    <w:rsid w:val="00566AB7"/>
    <w:rsid w:val="006E6A1F"/>
    <w:rsid w:val="00795203"/>
    <w:rsid w:val="008A784E"/>
    <w:rsid w:val="008C29B7"/>
    <w:rsid w:val="00B65859"/>
    <w:rsid w:val="00B7118C"/>
    <w:rsid w:val="00BC0ABC"/>
    <w:rsid w:val="00D54164"/>
    <w:rsid w:val="00DB2D35"/>
    <w:rsid w:val="00E13438"/>
    <w:rsid w:val="00E30204"/>
    <w:rsid w:val="00F62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F49435F-B3F0-4EB4-976A-3839000C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164"/>
  </w:style>
  <w:style w:type="paragraph" w:styleId="Antrat2">
    <w:name w:val="heading 2"/>
    <w:basedOn w:val="prastasis"/>
    <w:next w:val="prastasis"/>
    <w:link w:val="Antrat2Diagrama"/>
    <w:uiPriority w:val="99"/>
    <w:qFormat/>
    <w:rsid w:val="00DB2D35"/>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B2D35"/>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DB2D3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2D35"/>
    <w:rPr>
      <w:rFonts w:ascii="Tahoma" w:hAnsi="Tahoma" w:cs="Tahoma"/>
      <w:sz w:val="16"/>
      <w:szCs w:val="16"/>
    </w:rPr>
  </w:style>
  <w:style w:type="character" w:styleId="Hipersaitas">
    <w:name w:val="Hyperlink"/>
    <w:basedOn w:val="Numatytasispastraiposriftas"/>
    <w:uiPriority w:val="99"/>
    <w:rsid w:val="002F5E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1240</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18</cp:revision>
  <dcterms:created xsi:type="dcterms:W3CDTF">2025-07-28T08:07:00Z</dcterms:created>
  <dcterms:modified xsi:type="dcterms:W3CDTF">2026-06-22T13:27:00Z</dcterms:modified>
</cp:coreProperties>
</file>